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5EBFF">
      <w:pPr>
        <w:pStyle w:val="61"/>
        <w:jc w:val="center"/>
        <w:rPr>
          <w:rStyle w:val="37"/>
          <w:rFonts w:hAnsi="Times New Roman"/>
          <w:b w:val="0"/>
          <w:bCs/>
          <w:sz w:val="24"/>
        </w:rPr>
      </w:pPr>
      <w:bookmarkStart w:id="0" w:name="_Toc550"/>
      <w:r>
        <w:rPr>
          <w:rStyle w:val="37"/>
          <w:rFonts w:hint="eastAsia" w:hAnsi="Times New Roman"/>
          <w:b w:val="0"/>
          <w:bCs/>
          <w:sz w:val="24"/>
        </w:rPr>
        <w:t>称重物料罐的示值误差测量结果不确定度评定</w:t>
      </w:r>
      <w:bookmarkEnd w:id="0"/>
      <w:bookmarkStart w:id="30" w:name="_GoBack"/>
      <w:bookmarkEnd w:id="30"/>
    </w:p>
    <w:p w14:paraId="0A3B8EBA">
      <w:pPr>
        <w:adjustRightInd w:val="0"/>
        <w:snapToGrid w:val="0"/>
        <w:spacing w:line="360" w:lineRule="auto"/>
        <w:rPr>
          <w:spacing w:val="20"/>
        </w:rPr>
      </w:pPr>
      <w:r>
        <w:rPr>
          <w:spacing w:val="20"/>
        </w:rPr>
        <w:t>1</w:t>
      </w:r>
      <w:r>
        <w:rPr>
          <w:rFonts w:hint="eastAsia"/>
          <w:spacing w:val="20"/>
        </w:rPr>
        <w:t xml:space="preserve"> 概述</w:t>
      </w:r>
    </w:p>
    <w:p w14:paraId="29DF2574">
      <w:pPr>
        <w:adjustRightInd w:val="0"/>
        <w:snapToGrid w:val="0"/>
        <w:spacing w:line="360" w:lineRule="auto"/>
        <w:rPr>
          <w:spacing w:val="20"/>
        </w:rPr>
      </w:pPr>
      <w:r>
        <w:rPr>
          <w:spacing w:val="20"/>
        </w:rPr>
        <w:t>1</w:t>
      </w:r>
      <w:r>
        <w:rPr>
          <w:rFonts w:hint="eastAsia"/>
          <w:spacing w:val="20"/>
        </w:rPr>
        <w:t>.1 测量标准</w:t>
      </w:r>
    </w:p>
    <w:p w14:paraId="70AC893C">
      <w:pPr>
        <w:adjustRightInd w:val="0"/>
        <w:snapToGrid w:val="0"/>
        <w:spacing w:line="360" w:lineRule="auto"/>
        <w:ind w:firstLine="560" w:firstLineChars="200"/>
        <w:rPr>
          <w:spacing w:val="20"/>
        </w:rPr>
      </w:pPr>
      <w:r>
        <w:rPr>
          <w:rFonts w:hint="eastAsia"/>
          <w:spacing w:val="20"/>
        </w:rPr>
        <w:t>F</w:t>
      </w:r>
      <w:r>
        <w:rPr>
          <w:rFonts w:hint="eastAsia"/>
          <w:spacing w:val="20"/>
          <w:vertAlign w:val="subscript"/>
        </w:rPr>
        <w:t>2</w:t>
      </w:r>
      <w:r>
        <w:rPr>
          <w:rFonts w:hint="eastAsia"/>
          <w:spacing w:val="20"/>
        </w:rPr>
        <w:t>等级砝码（25kg*3=75 kg）。</w:t>
      </w:r>
    </w:p>
    <w:p w14:paraId="2619C88C">
      <w:pPr>
        <w:adjustRightInd w:val="0"/>
        <w:snapToGrid w:val="0"/>
        <w:spacing w:line="360" w:lineRule="auto"/>
        <w:rPr>
          <w:spacing w:val="20"/>
        </w:rPr>
      </w:pPr>
      <w:r>
        <w:rPr>
          <w:spacing w:val="20"/>
        </w:rPr>
        <w:t>1</w:t>
      </w:r>
      <w:r>
        <w:rPr>
          <w:rFonts w:hint="eastAsia"/>
          <w:spacing w:val="20"/>
        </w:rPr>
        <w:t>.2 被测对象</w:t>
      </w:r>
    </w:p>
    <w:p w14:paraId="462F5F2D">
      <w:pPr>
        <w:adjustRightInd w:val="0"/>
        <w:snapToGrid w:val="0"/>
        <w:spacing w:line="360" w:lineRule="auto"/>
        <w:ind w:firstLine="560" w:firstLineChars="200"/>
        <w:rPr>
          <w:spacing w:val="20"/>
        </w:rPr>
      </w:pPr>
      <w:r>
        <w:rPr>
          <w:rFonts w:hint="eastAsia"/>
          <w:spacing w:val="20"/>
          <w:lang w:eastAsia="zh-CN"/>
        </w:rPr>
        <w:t>称重物料罐</w:t>
      </w:r>
      <w:r>
        <w:rPr>
          <w:rFonts w:hint="eastAsia"/>
          <w:spacing w:val="20"/>
        </w:rPr>
        <w:t>（Max=1000kg，d=0.5kg，</w:t>
      </w:r>
      <w:r>
        <w:rPr>
          <w:color w:val="000000"/>
        </w:rPr>
        <w:t>具备扩展指示装置</w:t>
      </w:r>
      <w:r>
        <w:rPr>
          <w:rFonts w:hint="eastAsia"/>
          <w:spacing w:val="20"/>
        </w:rPr>
        <w:t>）。</w:t>
      </w:r>
    </w:p>
    <w:p w14:paraId="226323A8">
      <w:pPr>
        <w:adjustRightInd w:val="0"/>
        <w:snapToGrid w:val="0"/>
        <w:spacing w:line="360" w:lineRule="auto"/>
        <w:rPr>
          <w:spacing w:val="20"/>
        </w:rPr>
      </w:pPr>
      <w:r>
        <w:rPr>
          <w:spacing w:val="20"/>
        </w:rPr>
        <w:t>1</w:t>
      </w:r>
      <w:r>
        <w:rPr>
          <w:rFonts w:hint="eastAsia"/>
          <w:spacing w:val="20"/>
        </w:rPr>
        <w:t>.3 测量方法</w:t>
      </w:r>
    </w:p>
    <w:p w14:paraId="505BA37F">
      <w:pPr>
        <w:adjustRightInd w:val="0"/>
        <w:snapToGrid w:val="0"/>
        <w:spacing w:line="360" w:lineRule="auto"/>
        <w:ind w:firstLine="560" w:firstLineChars="200"/>
        <w:rPr>
          <w:spacing w:val="20"/>
        </w:rPr>
      </w:pPr>
      <w:r>
        <w:rPr>
          <w:rFonts w:hint="eastAsia"/>
          <w:spacing w:val="20"/>
        </w:rPr>
        <w:t>按本规范7.2方法，对</w:t>
      </w:r>
      <w:r>
        <w:rPr>
          <w:rFonts w:hint="eastAsia"/>
          <w:spacing w:val="20"/>
          <w:lang w:eastAsia="zh-CN"/>
        </w:rPr>
        <w:t>称重物料罐</w:t>
      </w:r>
      <w:r>
        <w:rPr>
          <w:rFonts w:hint="eastAsia"/>
          <w:spacing w:val="20"/>
        </w:rPr>
        <w:t>进行校准。</w:t>
      </w:r>
    </w:p>
    <w:p w14:paraId="669C1334">
      <w:pPr>
        <w:adjustRightInd w:val="0"/>
        <w:snapToGrid w:val="0"/>
        <w:spacing w:line="360" w:lineRule="auto"/>
        <w:rPr>
          <w:spacing w:val="20"/>
        </w:rPr>
      </w:pPr>
      <w:r>
        <w:rPr>
          <w:spacing w:val="20"/>
        </w:rPr>
        <w:t>2</w:t>
      </w:r>
      <w:r>
        <w:rPr>
          <w:rFonts w:hint="eastAsia"/>
          <w:spacing w:val="20"/>
        </w:rPr>
        <w:t xml:space="preserve"> 测量</w:t>
      </w:r>
      <w:r>
        <w:rPr>
          <w:spacing w:val="20"/>
        </w:rPr>
        <w:t>模型</w:t>
      </w:r>
    </w:p>
    <w:p w14:paraId="0C99AA74">
      <w:pPr>
        <w:tabs>
          <w:tab w:val="right" w:pos="9120"/>
        </w:tabs>
        <w:adjustRightInd w:val="0"/>
        <w:snapToGrid w:val="0"/>
        <w:spacing w:line="360" w:lineRule="auto"/>
        <w:ind w:left="198"/>
        <w:rPr>
          <w:bCs/>
          <w:position w:val="-12"/>
        </w:rPr>
      </w:pPr>
      <w:r>
        <w:rPr>
          <w:rFonts w:hint="eastAsia"/>
        </w:rPr>
        <w:t xml:space="preserve">      </w:t>
      </w:r>
      <w:r>
        <w:rPr>
          <w:rFonts w:hint="eastAsia"/>
          <w:spacing w:val="20"/>
        </w:rPr>
        <w:t xml:space="preserve">               </w:t>
      </w:r>
      <w:r>
        <w:rPr>
          <w:position w:val="-14"/>
        </w:rPr>
        <w:object>
          <v:shape id="_x0000_i1028" o:spt="75" type="#_x0000_t75" style="height:19pt;width:5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  <w:spacing w:val="20"/>
        </w:rPr>
        <w:t>（1）</w:t>
      </w:r>
      <w:r>
        <w:rPr>
          <w:rFonts w:hint="eastAsia"/>
        </w:rPr>
        <w:t xml:space="preserve">                 </w:t>
      </w:r>
    </w:p>
    <w:p w14:paraId="7E2CE194">
      <w:pPr>
        <w:tabs>
          <w:tab w:val="right" w:pos="9120"/>
        </w:tabs>
        <w:ind w:left="0" w:firstLine="283" w:firstLineChars="118"/>
        <w:rPr>
          <w:spacing w:val="20"/>
        </w:rPr>
      </w:pPr>
      <w:r>
        <w:rPr>
          <w:rFonts w:hint="eastAsia"/>
          <w:position w:val="-12"/>
        </w:rPr>
        <w:t>其中，</w:t>
      </w:r>
      <w:r>
        <w:rPr>
          <w:position w:val="-14"/>
        </w:rPr>
        <w:object>
          <v:shape id="_x0000_i1029" o:spt="75" type="#_x0000_t75" style="height:19pt;width:16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9" DrawAspect="Content" ObjectID="_1468075726" r:id="rId7">
            <o:LockedField>false</o:LockedField>
          </o:OLEObject>
        </w:object>
      </w:r>
      <w:r>
        <w:rPr>
          <w:rFonts w:hint="eastAsia"/>
          <w:spacing w:val="20"/>
        </w:rPr>
        <w:tab/>
      </w:r>
      <w:r>
        <w:rPr>
          <w:rFonts w:hint="eastAsia"/>
          <w:spacing w:val="20"/>
        </w:rPr>
        <w:t>（2）</w:t>
      </w:r>
    </w:p>
    <w:p w14:paraId="1AD6E8DF">
      <w:pPr>
        <w:ind w:left="0" w:firstLine="480" w:firstLineChars="200"/>
      </w:pPr>
      <w:r>
        <w:rPr>
          <w:color w:val="000000"/>
        </w:rPr>
        <w:t>如果</w:t>
      </w:r>
      <w:r>
        <w:t>称重系统</w:t>
      </w:r>
      <w:r>
        <w:rPr>
          <w:color w:val="000000"/>
        </w:rPr>
        <w:t>不具备扩展指示装置，采用</w:t>
      </w:r>
      <w:r>
        <w:rPr>
          <w:position w:val="-14"/>
        </w:rPr>
        <w:object>
          <v:shape id="_x0000_i1030" o:spt="75" type="#_x0000_t75" style="height:19pt;width:14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30" DrawAspect="Content" ObjectID="_1468075727" r:id="rId9">
            <o:LockedField>false</o:LockedField>
          </o:OLEObject>
        </w:object>
      </w:r>
      <w:r>
        <w:rPr>
          <w:color w:val="000000"/>
        </w:rPr>
        <w:t>式计算误差，考虑不确定度评定时，0.5</w:t>
      </w:r>
      <w:r>
        <w:rPr>
          <w:i/>
          <w:iCs/>
          <w:color w:val="000000"/>
        </w:rPr>
        <w:t>d</w:t>
      </w:r>
      <w:r>
        <w:rPr>
          <w:color w:val="000000"/>
        </w:rPr>
        <w:t>为常量，不产生不确定度分量，</w:t>
      </w:r>
      <w:r>
        <w:t>Δ</w:t>
      </w:r>
      <w:r>
        <w:rPr>
          <w:i/>
          <w:iCs/>
        </w:rPr>
        <w:t>L</w:t>
      </w:r>
      <w:r>
        <w:rPr>
          <w:color w:val="000000"/>
        </w:rPr>
        <w:t>为附加砝码，相对</w:t>
      </w:r>
      <w:r>
        <w:rPr>
          <w:i/>
          <w:color w:val="000000"/>
        </w:rPr>
        <w:t>I</w:t>
      </w:r>
      <w:r>
        <w:rPr>
          <w:color w:val="000000"/>
        </w:rPr>
        <w:t>和</w:t>
      </w:r>
      <w:r>
        <w:rPr>
          <w:i/>
          <w:color w:val="000000"/>
        </w:rPr>
        <w:t>L</w:t>
      </w:r>
      <w:r>
        <w:rPr>
          <w:color w:val="000000"/>
        </w:rPr>
        <w:t>至少小一个数量级，也可忽略，因而测量模型与（</w:t>
      </w:r>
      <w:r>
        <w:rPr>
          <w:rFonts w:hint="eastAsia"/>
          <w:color w:val="000000"/>
        </w:rPr>
        <w:t>1</w:t>
      </w:r>
      <w:r>
        <w:rPr>
          <w:color w:val="000000"/>
        </w:rPr>
        <w:t>）</w:t>
      </w:r>
      <w:r>
        <w:rPr>
          <w:rFonts w:hint="eastAsia"/>
          <w:color w:val="000000"/>
        </w:rPr>
        <w:t>相同。</w:t>
      </w:r>
    </w:p>
    <w:p w14:paraId="41B08176">
      <w:pPr>
        <w:ind w:left="0" w:firstLine="240" w:firstLineChars="100"/>
        <w:rPr>
          <w:spacing w:val="20"/>
        </w:rPr>
      </w:pPr>
      <w:r>
        <w:rPr>
          <w:rFonts w:hint="eastAsia"/>
        </w:rPr>
        <w:t>合成标准不确定度的计算公式：</w:t>
      </w:r>
    </w:p>
    <w:p w14:paraId="2B636C87">
      <w:pPr>
        <w:tabs>
          <w:tab w:val="right" w:pos="9120"/>
        </w:tabs>
        <w:ind w:left="0" w:firstLine="1680" w:firstLineChars="700"/>
        <w:rPr>
          <w:spacing w:val="20"/>
        </w:rPr>
      </w:pPr>
      <w:r>
        <w:rPr>
          <w:position w:val="-14"/>
        </w:rPr>
        <w:object>
          <v:shape id="_x0000_i1031" o:spt="75" type="#_x0000_t75" style="height:20pt;width:114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1" DrawAspect="Content" ObjectID="_1468075728" r:id="rId11">
            <o:LockedField>false</o:LockedField>
          </o:OLEObject>
        </w:object>
      </w:r>
      <w:r>
        <w:rPr>
          <w:rFonts w:hint="eastAsia"/>
          <w:spacing w:val="20"/>
        </w:rPr>
        <w:tab/>
      </w:r>
      <w:r>
        <w:rPr>
          <w:rFonts w:hint="eastAsia"/>
          <w:spacing w:val="20"/>
        </w:rPr>
        <w:t>（3）</w:t>
      </w:r>
    </w:p>
    <w:p w14:paraId="204736A9">
      <w:pPr>
        <w:tabs>
          <w:tab w:val="right" w:pos="9120"/>
        </w:tabs>
        <w:ind w:left="198"/>
      </w:pPr>
      <w:r>
        <w:rPr>
          <w:rFonts w:hint="eastAsia"/>
          <w:position w:val="-12"/>
        </w:rPr>
        <w:t>其中，</w:t>
      </w:r>
      <w:r>
        <w:rPr>
          <w:position w:val="-14"/>
        </w:rPr>
        <w:object>
          <v:shape id="_x0000_i1032" o:spt="75" type="#_x0000_t75" style="height:20pt;width:258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2" DrawAspect="Content" ObjectID="_1468075729" r:id="rId13">
            <o:LockedField>false</o:LockedField>
          </o:OLEObject>
        </w:object>
      </w:r>
      <w:r>
        <w:rPr>
          <w:rFonts w:hint="eastAsia"/>
          <w:position w:val="-14"/>
        </w:rPr>
        <w:t xml:space="preserve">             </w:t>
      </w:r>
      <w:r>
        <w:rPr>
          <w:rFonts w:hint="eastAsia"/>
          <w:position w:val="-14"/>
          <w:lang w:val="en-US" w:eastAsia="zh-CN"/>
        </w:rPr>
        <w:t xml:space="preserve">  </w:t>
      </w:r>
      <w:r>
        <w:rPr>
          <w:rFonts w:hint="eastAsia"/>
          <w:position w:val="-14"/>
        </w:rPr>
        <w:t xml:space="preserve">    </w:t>
      </w:r>
      <w:r>
        <w:rPr>
          <w:rFonts w:hint="eastAsia"/>
          <w:spacing w:val="20"/>
        </w:rPr>
        <w:t>（4）</w:t>
      </w:r>
    </w:p>
    <w:p w14:paraId="6708AD09">
      <w:pPr>
        <w:adjustRightInd w:val="0"/>
        <w:snapToGrid w:val="0"/>
        <w:spacing w:line="360" w:lineRule="auto"/>
        <w:rPr>
          <w:lang w:val="en-GB"/>
        </w:rPr>
      </w:pPr>
      <w:r>
        <w:rPr>
          <w:rFonts w:hint="eastAsia"/>
          <w:spacing w:val="20"/>
        </w:rPr>
        <w:t>3</w:t>
      </w:r>
      <w:r>
        <w:rPr>
          <w:rFonts w:hint="eastAsia"/>
          <w:lang w:val="en-GB"/>
        </w:rPr>
        <w:t>标准不确定度评定</w:t>
      </w:r>
    </w:p>
    <w:p w14:paraId="52E32296">
      <w:pPr>
        <w:ind w:left="141" w:leftChars="59"/>
        <w:rPr>
          <w:bCs/>
        </w:rPr>
      </w:pPr>
      <w:r>
        <w:rPr>
          <w:rFonts w:hint="eastAsia"/>
        </w:rPr>
        <w:t xml:space="preserve">3.1 </w:t>
      </w:r>
      <w:r>
        <w:t>称重系统分辨力引入的标准不确定度</w:t>
      </w:r>
      <w:r>
        <w:rPr>
          <w:position w:val="-10"/>
        </w:rPr>
        <w:object>
          <v:shape id="_x0000_i1033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3" DrawAspect="Content" ObjectID="_1468075730" r:id="rId15">
            <o:LockedField>false</o:LockedField>
          </o:OLEObject>
        </w:object>
      </w:r>
    </w:p>
    <w:p w14:paraId="6EB2B90B">
      <w:pPr>
        <w:ind w:left="0"/>
        <w:rPr>
          <w:bCs/>
        </w:rPr>
      </w:pPr>
      <w:r>
        <w:rPr>
          <w:rFonts w:hint="eastAsia"/>
        </w:rPr>
        <w:t xml:space="preserve">   </w:t>
      </w:r>
      <w:r>
        <w:t>称重系统分辨力为</w:t>
      </w:r>
      <w:r>
        <w:rPr>
          <w:i/>
        </w:rPr>
        <w:t>d</w:t>
      </w:r>
      <w:r>
        <w:t>，</w:t>
      </w:r>
      <w:r>
        <w:rPr>
          <w:color w:val="000000"/>
        </w:rPr>
        <w:t>使用扩展指示装置，</w:t>
      </w:r>
      <w:r>
        <w:rPr>
          <w:rFonts w:hint="eastAsia"/>
        </w:rPr>
        <w:t>其区间半宽度为</w:t>
      </w:r>
      <w:r>
        <w:rPr>
          <w:position w:val="-6"/>
        </w:rPr>
        <w:object>
          <v:shape id="_x0000_i1034" o:spt="75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4" DrawAspect="Content" ObjectID="_1468075731" r:id="rId17">
            <o:LockedField>false</o:LockedField>
          </o:OLEObject>
        </w:object>
      </w:r>
      <w:r>
        <w:rPr>
          <w:rFonts w:hint="eastAsia"/>
        </w:rPr>
        <w:t>，服从矩形分布，其标准不确定度为：</w:t>
      </w:r>
    </w:p>
    <w:p w14:paraId="5971D20E">
      <w:pPr>
        <w:tabs>
          <w:tab w:val="right" w:pos="9120"/>
        </w:tabs>
        <w:ind w:left="0" w:firstLine="1440" w:firstLineChars="600"/>
        <w:rPr>
          <w:bCs/>
        </w:rPr>
      </w:pPr>
      <w:r>
        <w:rPr>
          <w:position w:val="-10"/>
        </w:rPr>
        <w:object>
          <v:shape id="_x0000_i1035" o:spt="75" type="#_x0000_t75" style="height:19pt;width:199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5" DrawAspect="Content" ObjectID="_1468075732" r:id="rId19">
            <o:LockedField>false</o:LockedField>
          </o:OLEObject>
        </w:object>
      </w:r>
      <w:r>
        <w:rPr>
          <w:rFonts w:hint="eastAsia"/>
          <w:position w:val="-12"/>
        </w:rPr>
        <w:t xml:space="preserve">                 </w:t>
      </w:r>
      <w:r>
        <w:rPr>
          <w:rFonts w:hint="eastAsia"/>
          <w:position w:val="-12"/>
          <w:lang w:val="en-US" w:eastAsia="zh-CN"/>
        </w:rPr>
        <w:t xml:space="preserve">  </w:t>
      </w:r>
      <w:r>
        <w:rPr>
          <w:rFonts w:hint="eastAsia"/>
          <w:position w:val="-12"/>
        </w:rPr>
        <w:t xml:space="preserve">   </w:t>
      </w:r>
      <w:r>
        <w:rPr>
          <w:rFonts w:hint="eastAsia"/>
          <w:position w:val="-12"/>
          <w:lang w:val="en-US" w:eastAsia="zh-CN"/>
        </w:rPr>
        <w:t xml:space="preserve"> </w:t>
      </w:r>
      <w:r>
        <w:rPr>
          <w:rFonts w:hint="eastAsia"/>
          <w:position w:val="-12"/>
        </w:rPr>
        <w:t xml:space="preserve">  </w:t>
      </w:r>
      <w:r>
        <w:rPr>
          <w:rFonts w:hint="eastAsia"/>
          <w:spacing w:val="20"/>
        </w:rPr>
        <w:t>（5）</w:t>
      </w:r>
    </w:p>
    <w:p w14:paraId="7E94550C">
      <w:pPr>
        <w:ind w:left="141" w:leftChars="59"/>
        <w:rPr>
          <w:bCs/>
        </w:rPr>
      </w:pPr>
      <w:r>
        <w:rPr>
          <w:rFonts w:hint="eastAsia"/>
        </w:rPr>
        <w:t>3.2 重复性引起的标准不确定度</w:t>
      </w:r>
      <w:bookmarkStart w:id="1" w:name="OLE_LINK154"/>
      <w:bookmarkStart w:id="2" w:name="OLE_LINK155"/>
      <w:r>
        <w:rPr>
          <w:position w:val="-14"/>
        </w:rPr>
        <w:object>
          <v:shape id="_x0000_i1036" o:spt="75" type="#_x0000_t75" style="height:19pt;width:41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6" DrawAspect="Content" ObjectID="_1468075733" r:id="rId21">
            <o:LockedField>false</o:LockedField>
          </o:OLEObject>
        </w:object>
      </w:r>
      <w:bookmarkEnd w:id="1"/>
      <w:bookmarkEnd w:id="2"/>
    </w:p>
    <w:p w14:paraId="1B8FB821">
      <w:pPr>
        <w:ind w:left="0"/>
        <w:rPr>
          <w:bCs/>
        </w:rPr>
      </w:pPr>
      <w:r>
        <w:rPr>
          <w:rFonts w:hint="eastAsia"/>
        </w:rPr>
        <w:t xml:space="preserve">   重复性为连续加载标准载荷单元测量得到测量列，</w:t>
      </w:r>
      <w:bookmarkStart w:id="3" w:name="OLE_LINK137"/>
      <w:r>
        <w:rPr>
          <w:rFonts w:hint="eastAsia"/>
        </w:rPr>
        <w:t>采用B类方法进行评定</w:t>
      </w:r>
      <w:bookmarkEnd w:id="3"/>
      <w:r>
        <w:rPr>
          <w:rFonts w:hint="eastAsia"/>
        </w:rPr>
        <w:t>。以</w:t>
      </w:r>
      <w:r>
        <w:rPr>
          <w:rFonts w:hint="eastAsia"/>
          <w:lang w:eastAsia="zh-CN"/>
        </w:rPr>
        <w:t>称重物料罐</w:t>
      </w:r>
      <w:r>
        <w:rPr>
          <w:rFonts w:hint="eastAsia"/>
        </w:rPr>
        <w:t>50%最大称量点，在重复性条件下连续测量3次，得到测量列为（kg）：</w:t>
      </w:r>
    </w:p>
    <w:p w14:paraId="73978CBF">
      <w:pPr>
        <w:ind w:left="0"/>
        <w:rPr>
          <w:bCs/>
        </w:rPr>
      </w:pPr>
      <w:r>
        <w:rPr>
          <w:rFonts w:hint="eastAsia"/>
          <w:bCs/>
        </w:rPr>
        <w:t>523.05kg、523.05 kg、523.00 kg。</w:t>
      </w:r>
    </w:p>
    <w:p w14:paraId="17FF7586">
      <w:pPr>
        <w:ind w:left="0" w:firstLine="480" w:firstLineChars="200"/>
        <w:rPr>
          <w:bCs/>
        </w:rPr>
      </w:pPr>
      <w:r>
        <w:rPr>
          <w:position w:val="-14"/>
        </w:rPr>
        <w:object>
          <v:shape id="_x0000_i1037" o:spt="75" type="#_x0000_t75" style="height:19pt;width:41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7" DrawAspect="Content" ObjectID="_1468075734" r:id="rId23">
            <o:LockedField>false</o:LockedField>
          </o:OLEObject>
        </w:object>
      </w:r>
      <w:r>
        <w:rPr>
          <w:rFonts w:hint="eastAsia"/>
        </w:rPr>
        <w:t>表示</w:t>
      </w:r>
      <w:r>
        <w:rPr>
          <w:rFonts w:hint="eastAsia"/>
          <w:lang w:eastAsia="zh-CN"/>
        </w:rPr>
        <w:t>称重物料罐</w:t>
      </w:r>
      <w:r>
        <w:rPr>
          <w:rFonts w:hint="eastAsia"/>
        </w:rPr>
        <w:t>重复性，用极差法来表示，其标准不确定度为：</w:t>
      </w:r>
    </w:p>
    <w:p w14:paraId="3E4C4C27">
      <w:pPr>
        <w:tabs>
          <w:tab w:val="right" w:pos="9120"/>
        </w:tabs>
        <w:ind w:left="0" w:firstLine="1440" w:firstLineChars="600"/>
        <w:rPr>
          <w:bCs/>
        </w:rPr>
      </w:pPr>
      <w:bookmarkStart w:id="4" w:name="OLE_LINK138"/>
      <w:bookmarkStart w:id="5" w:name="OLE_LINK139"/>
      <w:r>
        <w:rPr>
          <w:position w:val="-24"/>
        </w:rPr>
        <w:object>
          <v:shape id="_x0000_i1038" o:spt="75" type="#_x0000_t75" style="height:30.5pt;width:145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8" DrawAspect="Content" ObjectID="_1468075735" r:id="rId24">
            <o:LockedField>false</o:LockedField>
          </o:OLEObject>
        </w:object>
      </w:r>
      <w:bookmarkEnd w:id="4"/>
      <w:bookmarkEnd w:id="5"/>
      <w:r>
        <w:rPr>
          <w:rFonts w:hint="eastAsia"/>
          <w:position w:val="-14"/>
        </w:rPr>
        <w:t xml:space="preserve">                        </w:t>
      </w:r>
      <w:r>
        <w:rPr>
          <w:rFonts w:hint="eastAsia"/>
          <w:position w:val="-14"/>
          <w:lang w:val="en-US" w:eastAsia="zh-CN"/>
        </w:rPr>
        <w:t xml:space="preserve">   </w:t>
      </w:r>
      <w:r>
        <w:rPr>
          <w:rFonts w:hint="eastAsia"/>
          <w:position w:val="-14"/>
        </w:rPr>
        <w:t xml:space="preserve">       </w:t>
      </w:r>
      <w:r>
        <w:rPr>
          <w:rFonts w:hint="eastAsia"/>
          <w:spacing w:val="20"/>
        </w:rPr>
        <w:t>（6）</w:t>
      </w:r>
    </w:p>
    <w:p w14:paraId="10125009">
      <w:pPr>
        <w:ind w:left="0" w:firstLine="480"/>
        <w:rPr>
          <w:bCs/>
        </w:rPr>
      </w:pPr>
      <w:r>
        <w:rPr>
          <w:rFonts w:hint="eastAsia"/>
        </w:rPr>
        <w:t>因为只进行一组重复性测量，则该测量的重复性引入的不确定度分量可代表</w:t>
      </w:r>
      <w:r>
        <w:rPr>
          <w:rFonts w:hint="eastAsia"/>
          <w:lang w:eastAsia="zh-CN"/>
        </w:rPr>
        <w:t>称重物料罐</w:t>
      </w:r>
      <w:r>
        <w:rPr>
          <w:rFonts w:hint="eastAsia"/>
        </w:rPr>
        <w:t>整个量程的重复性不确定度。</w:t>
      </w:r>
    </w:p>
    <w:p w14:paraId="299510E9">
      <w:pPr>
        <w:ind w:left="0"/>
        <w:rPr>
          <w:bCs/>
        </w:rPr>
      </w:pPr>
      <w:bookmarkStart w:id="6" w:name="OLE_LINK149"/>
      <w:r>
        <w:rPr>
          <w:rFonts w:hint="eastAsia"/>
        </w:rPr>
        <w:t>3.3 同一载荷在不同位置的重心的偏离引起的标准不确定度</w:t>
      </w:r>
      <w:bookmarkStart w:id="7" w:name="OLE_LINK142"/>
      <w:bookmarkStart w:id="8" w:name="OLE_LINK143"/>
      <w:r>
        <w:rPr>
          <w:position w:val="-12"/>
        </w:rPr>
        <w:object>
          <v:shape id="_x0000_i1039" o:spt="75" type="#_x0000_t75" style="height:18pt;width:41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9" DrawAspect="Content" ObjectID="_1468075736" r:id="rId26">
            <o:LockedField>false</o:LockedField>
          </o:OLEObject>
        </w:object>
      </w:r>
      <w:bookmarkEnd w:id="7"/>
      <w:bookmarkEnd w:id="8"/>
      <w:r>
        <w:rPr>
          <w:rFonts w:hint="eastAsia"/>
        </w:rPr>
        <w:t>（若适用）</w:t>
      </w:r>
    </w:p>
    <w:bookmarkEnd w:id="6"/>
    <w:p w14:paraId="56B6717E">
      <w:pPr>
        <w:ind w:left="0" w:firstLine="480" w:firstLineChars="200"/>
      </w:pPr>
      <w:bookmarkStart w:id="9" w:name="OLE_LINK12"/>
      <w:bookmarkStart w:id="10" w:name="OLE_LINK20"/>
      <w:bookmarkStart w:id="11" w:name="OLE_LINK13"/>
      <w:r>
        <w:rPr>
          <w:position w:val="-12"/>
        </w:rPr>
        <w:object>
          <v:shape id="_x0000_i1040" o:spt="75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0" DrawAspect="Content" ObjectID="_1468075737" r:id="rId28">
            <o:LockedField>false</o:LockedField>
          </o:OLEObject>
        </w:object>
      </w:r>
      <w:bookmarkEnd w:id="9"/>
      <w:bookmarkEnd w:id="10"/>
      <w:bookmarkEnd w:id="11"/>
      <w:r>
        <w:t>表示由于试验载荷重心的偏心位置引起的误差</w:t>
      </w:r>
      <w:bookmarkStart w:id="12" w:name="OLE_LINK14"/>
      <w:bookmarkStart w:id="13" w:name="OLE_LINK15"/>
      <w:r>
        <w:rPr>
          <w:rFonts w:hint="eastAsia"/>
        </w:rPr>
        <w:t>。</w:t>
      </w:r>
    </w:p>
    <w:p w14:paraId="302CC71D">
      <w:pPr>
        <w:ind w:left="0" w:firstLine="480" w:firstLineChars="200"/>
      </w:pPr>
      <w:r>
        <w:rPr>
          <w:rFonts w:hint="eastAsia"/>
        </w:rPr>
        <w:t>公式</w:t>
      </w:r>
      <w:r>
        <w:rPr>
          <w:position w:val="-12"/>
        </w:rPr>
        <w:object>
          <v:shape id="_x0000_i1041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1" DrawAspect="Content" ObjectID="_1468075738" r:id="rId30">
            <o:LockedField>false</o:LockedField>
          </o:OLEObject>
        </w:object>
      </w:r>
      <w:bookmarkEnd w:id="12"/>
      <w:bookmarkEnd w:id="13"/>
      <w:r>
        <w:t>，</w:t>
      </w:r>
      <w:bookmarkStart w:id="14" w:name="OLE_LINK18"/>
      <w:r>
        <w:t>其中，</w:t>
      </w:r>
      <w:r>
        <w:rPr>
          <w:rFonts w:hint="eastAsia"/>
          <w:i/>
        </w:rPr>
        <w:t>I</w:t>
      </w:r>
      <w:r>
        <w:rPr>
          <w:rFonts w:hint="eastAsia"/>
          <w:i/>
          <w:vertAlign w:val="subscript"/>
        </w:rPr>
        <w:t>Li</w:t>
      </w:r>
      <w:r>
        <w:rPr>
          <w:rFonts w:hint="eastAsia"/>
        </w:rPr>
        <w:t>为</w:t>
      </w:r>
      <w:bookmarkEnd w:id="14"/>
      <w:r>
        <w:rPr>
          <w:rFonts w:hint="eastAsia"/>
        </w:rPr>
        <w:t>第</w:t>
      </w:r>
      <w:r>
        <w:t>i</w:t>
      </w:r>
      <w:r>
        <w:rPr>
          <w:rFonts w:hint="eastAsia"/>
        </w:rPr>
        <w:t>个位置显示值，</w:t>
      </w:r>
      <w:r>
        <w:rPr>
          <w:rFonts w:hint="eastAsia"/>
          <w:i/>
        </w:rPr>
        <w:t>I</w:t>
      </w:r>
      <w:r>
        <w:rPr>
          <w:rFonts w:hint="eastAsia"/>
          <w:i/>
          <w:vertAlign w:val="subscript"/>
        </w:rPr>
        <w:t>L1</w:t>
      </w:r>
      <w:r>
        <w:rPr>
          <w:rFonts w:hint="eastAsia"/>
        </w:rPr>
        <w:t>为载荷均匀分布时，即位置1的示值。</w:t>
      </w:r>
      <w:r>
        <w:rPr>
          <w:position w:val="-12"/>
        </w:rPr>
        <w:object>
          <v:shape id="_x0000_i1042" o:spt="75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2" DrawAspect="Content" ObjectID="_1468075739" r:id="rId32">
            <o:LockedField>false</o:LockedField>
          </o:OLEObject>
        </w:object>
      </w:r>
      <w:r>
        <w:t>与载荷重心到承载器中心的距离成比例，与载荷值成比例</w:t>
      </w:r>
      <w:r>
        <w:rPr>
          <w:rFonts w:hint="eastAsia"/>
        </w:rPr>
        <w:t>。</w:t>
      </w:r>
    </w:p>
    <w:p w14:paraId="40DF834B">
      <w:pPr>
        <w:ind w:left="0" w:firstLine="480" w:firstLineChars="200"/>
        <w:rPr>
          <w:bCs/>
        </w:rPr>
      </w:pPr>
      <w:r>
        <w:rPr>
          <w:rFonts w:hint="eastAsia"/>
        </w:rPr>
        <w:t>载荷在不同位置的测量值：</w:t>
      </w:r>
      <w:r>
        <w:rPr>
          <w:bCs/>
        </w:rPr>
        <w:t xml:space="preserve"> </w:t>
      </w:r>
    </w:p>
    <w:p w14:paraId="59BCB354">
      <w:pPr>
        <w:ind w:left="0" w:firstLine="480" w:firstLineChars="200"/>
        <w:rPr>
          <w:bCs/>
        </w:rPr>
      </w:pPr>
      <w:r>
        <w:rPr>
          <w:rFonts w:hint="eastAsia"/>
        </w:rPr>
        <w:t>1：353.85 kg，2：353.95 kg，3：353.85 kg，4：353.95kg，5：353.95 kg。</w:t>
      </w:r>
    </w:p>
    <w:p w14:paraId="37388A9D">
      <w:pPr>
        <w:ind w:left="0" w:firstLine="480" w:firstLineChars="200"/>
        <w:rPr>
          <w:bCs/>
        </w:rPr>
      </w:pPr>
      <w:r>
        <w:t>​</w:t>
      </w:r>
      <w:r>
        <w:rPr>
          <w:position w:val="-12"/>
        </w:rPr>
        <w:object>
          <v:shape id="_x0000_i1043" o:spt="75" type="#_x0000_t75" style="height:18pt;width:2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3" DrawAspect="Content" ObjectID="_1468075740" r:id="rId34">
            <o:LockedField>false</o:LockedField>
          </o:OLEObject>
        </w:object>
      </w:r>
      <w:r>
        <w:t>为偏载试验所用载荷标称值，</w:t>
      </w:r>
      <w:r>
        <w:rPr>
          <w:rFonts w:hint="eastAsia"/>
          <w:i/>
        </w:rPr>
        <w:t>I</w:t>
      </w:r>
      <w:r>
        <w:t>为载荷在不同位置的示值。其最大</w:t>
      </w:r>
      <w:r>
        <w:rPr>
          <w:rFonts w:hint="eastAsia"/>
        </w:rPr>
        <w:t>差值</w:t>
      </w:r>
      <w:r>
        <w:rPr>
          <w:position w:val="-14"/>
        </w:rPr>
        <w:object>
          <v:shape id="_x0000_i1044" o:spt="75" type="#_x0000_t75" style="height:20pt;width:4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4" DrawAspect="Content" ObjectID="_1468075741" r:id="rId36">
            <o:LockedField>false</o:LockedField>
          </o:OLEObject>
        </w:object>
      </w:r>
      <w:r>
        <w:t>符合</w:t>
      </w:r>
      <w:r>
        <w:rPr>
          <w:rFonts w:hint="eastAsia"/>
        </w:rPr>
        <w:t>矩形</w:t>
      </w:r>
      <w:r>
        <w:t>分布</w:t>
      </w:r>
      <w:bookmarkStart w:id="15" w:name="OLE_LINK153"/>
      <w:r>
        <w:t>，</w:t>
      </w:r>
      <w:r>
        <w:rPr>
          <w:rFonts w:hint="eastAsia"/>
        </w:rPr>
        <w:t>其</w:t>
      </w:r>
      <w:r>
        <w:t>标准不确定度为</w:t>
      </w:r>
      <w:bookmarkEnd w:id="15"/>
      <w:r>
        <w:t>：</w:t>
      </w:r>
    </w:p>
    <w:p w14:paraId="0F2A6E7F">
      <w:pPr>
        <w:tabs>
          <w:tab w:val="right" w:pos="9120"/>
        </w:tabs>
        <w:ind w:left="0" w:firstLine="480" w:firstLineChars="200"/>
        <w:rPr>
          <w:position w:val="-14"/>
        </w:rPr>
      </w:pPr>
      <w:r>
        <w:rPr>
          <w:rFonts w:hint="eastAsia"/>
          <w:color w:val="00B050"/>
          <w:position w:val="-10"/>
        </w:rPr>
        <w:t xml:space="preserve">  </w:t>
      </w:r>
      <w:r>
        <w:rPr>
          <w:position w:val="-14"/>
        </w:rPr>
        <w:object>
          <v:shape id="_x0000_i1045" o:spt="75" type="#_x0000_t75" style="height:21.5pt;width:15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5" DrawAspect="Content" ObjectID="_1468075742" r:id="rId38">
            <o:LockedField>false</o:LockedField>
          </o:OLEObject>
        </w:object>
      </w:r>
      <w:r>
        <w:rPr>
          <w:rFonts w:hint="eastAsia"/>
          <w:position w:val="-14"/>
        </w:rPr>
        <w:t xml:space="preserve">                                      </w:t>
      </w:r>
      <w:bookmarkStart w:id="16" w:name="OLE_LINK24"/>
      <w:bookmarkStart w:id="17" w:name="OLE_LINK25"/>
      <w:r>
        <w:rPr>
          <w:rFonts w:hint="eastAsia"/>
          <w:spacing w:val="20"/>
        </w:rPr>
        <w:t>（7）</w:t>
      </w:r>
      <w:bookmarkEnd w:id="16"/>
      <w:bookmarkEnd w:id="17"/>
    </w:p>
    <w:p w14:paraId="69DDC039">
      <w:pPr>
        <w:ind w:left="1485" w:leftChars="619" w:firstLine="1920" w:firstLineChars="800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=953.85×0.1/(2×353.85×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>
              <m:ctrlPr>
                <w:rPr>
                  <w:rFonts w:ascii="Cambria Math" w:hAnsi="Cambria Math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  <m:ctrlPr>
                <w:rPr>
                  <w:rFonts w:ascii="Cambria Math" w:hAnsi="Cambria Math"/>
                </w:rPr>
              </m:ctrlPr>
            </m:e>
          </m:rad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7B242C7C">
      <w:pPr>
        <w:ind w:left="0" w:firstLine="1504" w:firstLineChars="627"/>
        <w:rPr>
          <w:color w:val="00B050"/>
          <w:position w:val="-28"/>
        </w:rPr>
      </w:pPr>
      <w:r>
        <w:rPr>
          <w:rFonts w:hint="eastAsia"/>
          <w:position w:val="-8"/>
        </w:rPr>
        <w:t>= 0.092 kg</w:t>
      </w:r>
    </w:p>
    <w:p w14:paraId="35CB92D3">
      <w:pPr>
        <w:ind w:left="0"/>
        <w:rPr>
          <w:position w:val="-12"/>
        </w:rPr>
      </w:pPr>
      <w:r>
        <w:rPr>
          <w:rFonts w:hint="eastAsia"/>
        </w:rPr>
        <w:t xml:space="preserve">3.4 </w:t>
      </w:r>
      <w:bookmarkStart w:id="18" w:name="OLE_LINK280"/>
      <w:bookmarkStart w:id="19" w:name="OLE_LINK281"/>
      <w:r>
        <w:rPr>
          <w:rFonts w:hint="eastAsia"/>
        </w:rPr>
        <w:t>蠕变和滞后引起的标准不确定度</w:t>
      </w:r>
      <w:bookmarkStart w:id="20" w:name="OLE_LINK152"/>
      <w:bookmarkStart w:id="21" w:name="OLE_LINK150"/>
      <w:r>
        <w:rPr>
          <w:position w:val="-12"/>
        </w:rPr>
        <w:object>
          <v:shape id="_x0000_i1046" o:spt="75" type="#_x0000_t75" style="height:18pt;width:44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6" DrawAspect="Content" ObjectID="_1468075743" r:id="rId40">
            <o:LockedField>false</o:LockedField>
          </o:OLEObject>
        </w:object>
      </w:r>
      <w:bookmarkEnd w:id="18"/>
      <w:bookmarkEnd w:id="19"/>
      <w:bookmarkEnd w:id="20"/>
      <w:bookmarkEnd w:id="21"/>
      <w:r>
        <w:rPr>
          <w:rFonts w:hint="eastAsia"/>
        </w:rPr>
        <w:t>（若适用）</w:t>
      </w:r>
    </w:p>
    <w:p w14:paraId="5DCC7334">
      <w:pPr>
        <w:ind w:left="0" w:firstLine="480" w:firstLineChars="200"/>
      </w:pPr>
      <w:r>
        <w:t>由于量程较大，要不断进行加/卸载，所用时间较长，因此需要考虑蠕变和滞后的影响。可把相同载荷在进程和回程的最大差值Δ</w:t>
      </w:r>
      <w:r>
        <w:rPr>
          <w:rFonts w:hint="eastAsia"/>
          <w:vertAlign w:val="subscript"/>
        </w:rPr>
        <w:t>jmax</w:t>
      </w:r>
      <w:r>
        <w:t>作为蠕变和滞后的影响的极限值</w:t>
      </w:r>
      <w:r>
        <w:rPr>
          <w:rFonts w:hint="eastAsia"/>
        </w:rPr>
        <w:t>。</w:t>
      </w:r>
      <w:r>
        <w:t>如无此数据，可把最后</w:t>
      </w:r>
      <w:bookmarkStart w:id="22" w:name="OLE_LINK290"/>
      <w:r>
        <w:t>回零时零点示值</w:t>
      </w:r>
      <w:r>
        <w:rPr>
          <w:rFonts w:hint="eastAsia"/>
          <w:i/>
        </w:rPr>
        <w:t>E</w:t>
      </w:r>
      <w:r>
        <w:rPr>
          <w:rFonts w:hint="eastAsia"/>
          <w:vertAlign w:val="subscript"/>
        </w:rPr>
        <w:t>0</w:t>
      </w:r>
      <w:bookmarkEnd w:id="22"/>
      <w:r>
        <w:t>作为蠕变和滞后的影响的极限值</w:t>
      </w:r>
      <w:r>
        <w:rPr>
          <w:rFonts w:hint="eastAsia"/>
        </w:rPr>
        <w:t>，其标准不确定度为：</w:t>
      </w:r>
    </w:p>
    <w:p w14:paraId="076C87D5">
      <w:pPr>
        <w:ind w:left="0" w:firstLine="480" w:firstLineChars="200"/>
      </w:pPr>
      <w:r>
        <w:rPr>
          <w:position w:val="-12"/>
        </w:rPr>
        <w:object>
          <v:shape id="_x0000_i1047" o:spt="75" type="#_x0000_t75" style="height:20pt;width:15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7" DrawAspect="Content" ObjectID="_1468075744" r:id="rId42">
            <o:LockedField>false</o:LockedField>
          </o:OLEObject>
        </w:object>
      </w:r>
      <w:r>
        <w:rPr>
          <w:rFonts w:hint="eastAsia"/>
          <w:position w:val="-12"/>
        </w:rPr>
        <w:t xml:space="preserve">                                       </w:t>
      </w:r>
      <w:r>
        <w:rPr>
          <w:rFonts w:hint="eastAsia"/>
          <w:spacing w:val="20"/>
        </w:rPr>
        <w:t>（8）</w:t>
      </w:r>
    </w:p>
    <w:p w14:paraId="69A3A61B">
      <w:pPr>
        <w:ind w:left="0" w:firstLine="1416" w:firstLineChars="590"/>
        <w:rPr>
          <w:position w:val="-8"/>
        </w:rPr>
      </w:pPr>
      <w:r>
        <w:rPr>
          <w:position w:val="-8"/>
        </w:rPr>
        <w:object>
          <v:shape id="_x0000_i1048" o:spt="75" type="#_x0000_t75" style="height:18pt;width:168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8" DrawAspect="Content" ObjectID="_1468075745" r:id="rId44">
            <o:LockedField>false</o:LockedField>
          </o:OLEObject>
        </w:object>
      </w:r>
    </w:p>
    <w:p w14:paraId="46284EB2">
      <w:pPr>
        <w:ind w:left="0" w:firstLine="480" w:firstLineChars="200"/>
      </w:pPr>
      <w:r>
        <w:rPr>
          <w:rFonts w:hint="eastAsia"/>
          <w:position w:val="-8"/>
        </w:rPr>
        <w:t xml:space="preserve">        </w:t>
      </w:r>
      <w:bookmarkStart w:id="23" w:name="OLE_LINK26"/>
      <w:r>
        <w:rPr>
          <w:rFonts w:hint="eastAsia"/>
          <w:position w:val="-8"/>
        </w:rPr>
        <w:t>=0.014 kg</w:t>
      </w:r>
      <w:bookmarkEnd w:id="23"/>
    </w:p>
    <w:p w14:paraId="135FEA4B">
      <w:pPr>
        <w:ind w:left="0"/>
        <w:rPr>
          <w:bCs/>
        </w:rPr>
      </w:pPr>
      <w:r>
        <w:rPr>
          <w:rFonts w:hint="eastAsia"/>
        </w:rPr>
        <w:t>3.5 示值的标准不确定度</w:t>
      </w:r>
    </w:p>
    <w:p w14:paraId="61ABFABD">
      <w:pPr>
        <w:ind w:left="0" w:firstLine="424" w:firstLineChars="177"/>
        <w:rPr>
          <w:position w:val="-16"/>
        </w:rPr>
      </w:pPr>
      <w:r>
        <w:rPr>
          <w:position w:val="-16"/>
        </w:rPr>
        <w:object>
          <v:shape id="_x0000_i1049" o:spt="75" type="#_x0000_t75" style="height:24pt;width:29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9" DrawAspect="Content" ObjectID="_1468075746" r:id="rId46">
            <o:LockedField>false</o:LockedField>
          </o:OLEObject>
        </w:object>
      </w:r>
      <w:r>
        <w:rPr>
          <w:rFonts w:hint="eastAsia"/>
          <w:position w:val="-16"/>
        </w:rPr>
        <w:t xml:space="preserve">                 </w:t>
      </w:r>
      <w:bookmarkStart w:id="24" w:name="OLE_LINK157"/>
      <w:bookmarkStart w:id="25" w:name="OLE_LINK156"/>
      <w:r>
        <w:rPr>
          <w:rFonts w:hint="eastAsia"/>
          <w:spacing w:val="20"/>
        </w:rPr>
        <w:t>（9）</w:t>
      </w:r>
      <w:bookmarkEnd w:id="24"/>
      <w:bookmarkEnd w:id="25"/>
      <w:r>
        <w:rPr>
          <w:rFonts w:hint="eastAsia"/>
          <w:position w:val="-16"/>
        </w:rPr>
        <w:t xml:space="preserve"> </w:t>
      </w:r>
    </w:p>
    <w:p w14:paraId="1DBF070B">
      <w:pPr>
        <w:spacing w:before="156" w:after="156"/>
        <w:ind w:left="480" w:hanging="480"/>
        <w:rPr>
          <w:lang w:val="en-GB"/>
        </w:rPr>
      </w:pPr>
      <w:r>
        <w:rPr>
          <w:rFonts w:hint="eastAsia"/>
          <w:lang w:val="en-GB"/>
        </w:rPr>
        <w:t>4  试验载荷的不确定度评定</w:t>
      </w:r>
    </w:p>
    <w:p w14:paraId="447DF76E">
      <w:pPr>
        <w:ind w:left="0"/>
        <w:textAlignment w:val="center"/>
        <w:rPr>
          <w:position w:val="-14"/>
        </w:rPr>
      </w:pPr>
      <w:r>
        <w:rPr>
          <w:rFonts w:hint="eastAsia"/>
          <w:position w:val="-14"/>
        </w:rPr>
        <w:t xml:space="preserve">   </w:t>
      </w:r>
      <w:r>
        <w:rPr>
          <w:position w:val="-14"/>
        </w:rPr>
        <w:t>试验载荷由标准砝码和替代载荷组成，</w:t>
      </w:r>
      <w:r>
        <w:rPr>
          <w:position w:val="-14"/>
        </w:rPr>
        <w:object>
          <v:shape id="_x0000_i1050" o:spt="75" type="#_x0000_t75" style="height:19pt;width:16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50" DrawAspect="Content" ObjectID="_1468075747" r:id="rId48">
            <o:LockedField>false</o:LockedField>
          </o:OLEObject>
        </w:object>
      </w:r>
      <w:r>
        <w:rPr>
          <w:position w:val="-14"/>
        </w:rPr>
        <w:t>。</w:t>
      </w:r>
    </w:p>
    <w:p w14:paraId="2F8A06E9">
      <w:pPr>
        <w:ind w:left="0"/>
        <w:rPr>
          <w:bCs/>
          <w:position w:val="-14"/>
        </w:rPr>
      </w:pPr>
      <w:r>
        <w:rPr>
          <w:rFonts w:hint="eastAsia"/>
        </w:rPr>
        <w:t>4.1标准砝码的标准不确定度</w:t>
      </w:r>
    </w:p>
    <w:p w14:paraId="5D37EB37">
      <w:pPr>
        <w:ind w:left="0" w:firstLine="480" w:firstLineChars="200"/>
        <w:rPr>
          <w:bCs/>
        </w:rPr>
      </w:pPr>
      <w:r>
        <w:rPr>
          <w:rFonts w:hint="eastAsia"/>
        </w:rPr>
        <w:t>标准砝码有检定证书，且在校准过程中仅使用砝码标称值，查JJG 99 表1得F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等级25kg的最大允许误差为0.380g，则3只25kg砝码的标准不确定度为各个标准砝码的标准不确定度的算术和，如下：</w:t>
      </w:r>
    </w:p>
    <w:p w14:paraId="45477D43">
      <w:pPr>
        <w:ind w:left="0"/>
        <w:rPr>
          <w:bCs/>
        </w:rPr>
      </w:pPr>
      <w:r>
        <w:rPr>
          <w:rFonts w:hint="eastAsia"/>
        </w:rPr>
        <w:t xml:space="preserve">             </w:t>
      </w:r>
      <w:bookmarkStart w:id="26" w:name="OLE_LINK44"/>
      <w:bookmarkStart w:id="27" w:name="OLE_LINK28"/>
      <w:r>
        <w:rPr>
          <w:position w:val="-12"/>
        </w:rPr>
        <w:object>
          <v:shape id="_x0000_i1051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1" DrawAspect="Content" ObjectID="_1468075748" r:id="rId49">
            <o:LockedField>false</o:LockedField>
          </o:OLEObject>
        </w:object>
      </w:r>
      <w:bookmarkEnd w:id="26"/>
      <w:bookmarkEnd w:id="27"/>
      <w:r>
        <w:rPr>
          <w:position w:val="-14"/>
        </w:rPr>
        <w:object>
          <v:shape id="_x0000_i1052" o:spt="75" type="#_x0000_t75" style="height:22pt;width:7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2" DrawAspect="Content" ObjectID="_1468075749" r:id="rId51">
            <o:LockedField>false</o:LockedField>
          </o:OLEObject>
        </w:object>
      </w:r>
      <w:r>
        <w:rPr>
          <w:position w:val="-10"/>
        </w:rPr>
        <w:object>
          <v:shape id="_x0000_i1053" o:spt="75" type="#_x0000_t75" style="height:19pt;width:152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3" DrawAspect="Content" ObjectID="_1468075750" r:id="rId53">
            <o:LockedField>false</o:LockedField>
          </o:OLEObject>
        </w:object>
      </w:r>
      <w:r>
        <w:rPr>
          <w:rFonts w:hint="eastAsia"/>
          <w:position w:val="-10"/>
        </w:rPr>
        <w:t xml:space="preserve">          </w:t>
      </w:r>
      <w:r>
        <w:rPr>
          <w:rFonts w:hint="eastAsia"/>
          <w:spacing w:val="20"/>
        </w:rPr>
        <w:t>（10）</w:t>
      </w:r>
    </w:p>
    <w:p w14:paraId="629D5CD6">
      <w:pPr>
        <w:ind w:left="0"/>
        <w:rPr>
          <w:bCs/>
        </w:rPr>
      </w:pPr>
      <w:r>
        <w:rPr>
          <w:rFonts w:hint="eastAsia"/>
        </w:rPr>
        <w:t>4.2试验载荷的不确定度</w:t>
      </w:r>
    </w:p>
    <w:p w14:paraId="49FF745A">
      <w:pPr>
        <w:ind w:left="0"/>
        <w:rPr>
          <w:bCs/>
          <w:position w:val="-14"/>
        </w:rPr>
      </w:pPr>
      <w:r>
        <w:rPr>
          <w:rFonts w:hint="eastAsia"/>
          <w:position w:val="-14"/>
        </w:rPr>
        <w:t xml:space="preserve">   </w:t>
      </w:r>
      <w:r>
        <w:rPr>
          <w:position w:val="-14"/>
        </w:rPr>
        <w:object>
          <v:shape id="_x0000_i1054" o:spt="75" type="#_x0000_t75" style="height:20pt;width:261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4" DrawAspect="Content" ObjectID="_1468075751" r:id="rId55">
            <o:LockedField>false</o:LockedField>
          </o:OLEObject>
        </w:object>
      </w:r>
    </w:p>
    <w:p w14:paraId="681F8F23">
      <w:pPr>
        <w:ind w:left="0"/>
        <w:rPr>
          <w:bCs/>
        </w:rPr>
      </w:pPr>
      <w:r>
        <w:rPr>
          <w:rFonts w:hint="eastAsia"/>
          <w:position w:val="-14"/>
        </w:rPr>
        <w:t xml:space="preserve">          </w:t>
      </w:r>
      <w:r>
        <w:rPr>
          <w:position w:val="-10"/>
        </w:rPr>
        <w:object>
          <v:shape id="_x0000_i1055" o:spt="75" type="#_x0000_t75" style="height:16.5pt;width:5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5" DrawAspect="Content" ObjectID="_1468075752" r:id="rId57">
            <o:LockedField>false</o:LockedField>
          </o:OLEObject>
        </w:object>
      </w:r>
      <w:r>
        <w:rPr>
          <w:rFonts w:hint="eastAsia"/>
          <w:position w:val="-14"/>
        </w:rPr>
        <w:t xml:space="preserve">    </w:t>
      </w:r>
    </w:p>
    <w:p w14:paraId="1DC327E1">
      <w:pPr>
        <w:spacing w:before="156" w:after="156"/>
        <w:ind w:left="480" w:hanging="480"/>
        <w:rPr>
          <w:lang w:val="en-GB"/>
        </w:rPr>
      </w:pPr>
      <w:r>
        <w:rPr>
          <w:rFonts w:hint="eastAsia"/>
          <w:lang w:val="en-GB"/>
        </w:rPr>
        <w:t xml:space="preserve">5 合成标准不确定度的评定 </w:t>
      </w:r>
    </w:p>
    <w:p w14:paraId="62DDA75F">
      <w:pPr>
        <w:ind w:left="0"/>
        <w:rPr>
          <w:bCs/>
        </w:rPr>
      </w:pPr>
      <w:r>
        <w:rPr>
          <w:rFonts w:hint="eastAsia"/>
        </w:rPr>
        <w:t>5.1 示值误差的合成标准不确定度</w:t>
      </w:r>
      <w:r>
        <w:rPr>
          <w:position w:val="-12"/>
        </w:rPr>
        <w:object>
          <v:shape id="_x0000_i1056" o:spt="75" type="#_x0000_t75" style="height:18pt;width:30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6" DrawAspect="Content" ObjectID="_1468075753" r:id="rId59">
            <o:LockedField>false</o:LockedField>
          </o:OLEObject>
        </w:object>
      </w:r>
    </w:p>
    <w:p w14:paraId="6C6AD009">
      <w:pPr>
        <w:ind w:left="0" w:firstLine="480" w:firstLineChars="200"/>
        <w:rPr>
          <w:bCs/>
        </w:rPr>
      </w:pPr>
      <w:r>
        <w:rPr>
          <w:position w:val="-16"/>
        </w:rPr>
        <w:object>
          <v:shape id="_x0000_i1057" o:spt="75" type="#_x0000_t75" style="height:24pt;width:121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7" DrawAspect="Content" ObjectID="_1468075754" r:id="rId61">
            <o:LockedField>false</o:LockedField>
          </o:OLEObject>
        </w:object>
      </w:r>
    </w:p>
    <w:p w14:paraId="58BBD205">
      <w:pPr>
        <w:ind w:left="0" w:firstLine="960" w:firstLineChars="400"/>
        <w:rPr>
          <w:bCs/>
        </w:rPr>
      </w:pPr>
      <w:r>
        <w:rPr>
          <w:position w:val="-12"/>
        </w:rPr>
        <w:object>
          <v:shape id="_x0000_i1058" o:spt="75" type="#_x0000_t75" style="height:22pt;width:12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8" DrawAspect="Content" ObjectID="_1468075755" r:id="rId63">
            <o:LockedField>false</o:LockedField>
          </o:OLEObject>
        </w:object>
      </w:r>
    </w:p>
    <w:p w14:paraId="3874E142">
      <w:pPr>
        <w:ind w:left="0" w:firstLine="960" w:firstLineChars="400"/>
        <w:rPr>
          <w:bCs/>
        </w:rPr>
      </w:pPr>
      <w:r>
        <w:rPr>
          <w:position w:val="-10"/>
        </w:rPr>
        <w:object>
          <v:shape id="_x0000_i1059" o:spt="75" type="#_x0000_t75" style="height:15.5pt;width:5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9" DrawAspect="Content" ObjectID="_1468075756" r:id="rId65">
            <o:LockedField>false</o:LockedField>
          </o:OLEObject>
        </w:object>
      </w:r>
    </w:p>
    <w:p w14:paraId="76F279D7">
      <w:pPr>
        <w:ind w:left="0"/>
        <w:rPr>
          <w:bCs/>
        </w:rPr>
      </w:pPr>
      <w:r>
        <w:rPr>
          <w:rFonts w:hint="eastAsia"/>
        </w:rPr>
        <w:t>5.2 扩展不确定度</w:t>
      </w:r>
    </w:p>
    <w:p w14:paraId="4F391747">
      <w:pPr>
        <w:ind w:left="0"/>
        <w:rPr>
          <w:bCs/>
        </w:rPr>
      </w:pPr>
      <w:r>
        <w:rPr>
          <w:rFonts w:hint="eastAsia"/>
        </w:rPr>
        <w:t xml:space="preserve">    取</w:t>
      </w:r>
      <w:r>
        <w:rPr>
          <w:rFonts w:hint="eastAsia"/>
          <w:i/>
        </w:rPr>
        <w:t>k</w:t>
      </w:r>
      <w:r>
        <w:rPr>
          <w:rFonts w:hint="eastAsia"/>
        </w:rPr>
        <w:t>=2, 扩展不确定度为:</w:t>
      </w:r>
    </w:p>
    <w:p w14:paraId="5C3EE777">
      <w:pPr>
        <w:ind w:left="0" w:firstLine="480"/>
        <w:rPr>
          <w:bCs/>
        </w:rPr>
      </w:pPr>
      <w:r>
        <w:rPr>
          <w:rFonts w:hint="eastAsia"/>
        </w:rPr>
        <w:t xml:space="preserve"> </w:t>
      </w:r>
      <w:r>
        <w:rPr>
          <w:position w:val="-12"/>
        </w:rPr>
        <w:object>
          <v:shape id="_x0000_i1060" o:spt="75" type="#_x0000_t75" style="height:18pt;width:70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0" DrawAspect="Content" ObjectID="_1468075757" r:id="rId67">
            <o:LockedField>false</o:LockedField>
          </o:OLEObject>
        </w:object>
      </w:r>
      <w:r>
        <w:rPr>
          <w:rFonts w:hint="eastAsia"/>
        </w:rPr>
        <w:t>=0.65kg</w:t>
      </w:r>
    </w:p>
    <w:p w14:paraId="7442B6EA">
      <w:pPr>
        <w:spacing w:before="120" w:after="120"/>
        <w:ind w:left="480" w:hanging="480"/>
        <w:rPr>
          <w:lang w:val="en-GB"/>
        </w:rPr>
      </w:pPr>
      <w:bookmarkStart w:id="28" w:name="OLE_LINK66"/>
      <w:bookmarkStart w:id="29" w:name="OLE_LINK67"/>
      <w:r>
        <w:rPr>
          <w:rFonts w:hint="eastAsia"/>
          <w:lang w:val="en-GB"/>
        </w:rPr>
        <w:t xml:space="preserve">6 </w:t>
      </w:r>
      <w:bookmarkEnd w:id="28"/>
      <w:bookmarkEnd w:id="29"/>
      <w:r>
        <w:rPr>
          <w:rFonts w:hint="eastAsia"/>
          <w:lang w:val="en-GB"/>
        </w:rPr>
        <w:t>计算得出该</w:t>
      </w:r>
      <w:r>
        <w:rPr>
          <w:rFonts w:hint="eastAsia"/>
          <w:lang w:val="en-GB" w:eastAsia="zh-CN"/>
        </w:rPr>
        <w:t>称重物料罐</w:t>
      </w:r>
      <w:r>
        <w:rPr>
          <w:rFonts w:hint="eastAsia"/>
          <w:lang w:val="en-GB"/>
        </w:rPr>
        <w:t>的测量不确定度为：</w:t>
      </w:r>
    </w:p>
    <w:tbl>
      <w:tblPr>
        <w:tblStyle w:val="20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927"/>
        <w:gridCol w:w="2286"/>
        <w:gridCol w:w="1985"/>
        <w:gridCol w:w="2375"/>
      </w:tblGrid>
      <w:tr w14:paraId="04423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70246C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测量点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6F320EFC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载荷</w:t>
            </w:r>
            <w:r>
              <w:rPr>
                <w:i/>
                <w:sz w:val="21"/>
                <w:szCs w:val="21"/>
              </w:rPr>
              <w:t>L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6E75CBE3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示值</w:t>
            </w:r>
            <w:r>
              <w:rPr>
                <w:i/>
                <w:sz w:val="21"/>
                <w:szCs w:val="21"/>
              </w:rPr>
              <w:t>I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381BA47F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示值误差</w:t>
            </w:r>
            <w:r>
              <w:rPr>
                <w:rFonts w:hint="eastAsia" w:cs="宋体"/>
                <w:i/>
                <w:color w:val="000000"/>
                <w:kern w:val="0"/>
                <w:sz w:val="21"/>
                <w:szCs w:val="21"/>
              </w:rPr>
              <w:t>E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17827EAC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扩展不确定度</w:t>
            </w:r>
            <w:r>
              <w:rPr>
                <w:i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i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=2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14:paraId="142C1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BB7A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73101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（  kg  ）</w:t>
            </w:r>
          </w:p>
        </w:tc>
        <w:tc>
          <w:tcPr>
            <w:tcW w:w="11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FCC99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（  kg  ）</w:t>
            </w:r>
          </w:p>
        </w:tc>
        <w:tc>
          <w:tcPr>
            <w:tcW w:w="10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91698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（  kg  ）</w:t>
            </w:r>
          </w:p>
        </w:tc>
        <w:tc>
          <w:tcPr>
            <w:tcW w:w="12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4BFBA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（  kg  ）</w:t>
            </w:r>
          </w:p>
        </w:tc>
      </w:tr>
      <w:tr w14:paraId="16095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DAFA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DA74D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7FFD3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13.50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E2D1A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5040D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0.07</w:t>
            </w:r>
          </w:p>
        </w:tc>
      </w:tr>
      <w:tr w14:paraId="691FD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5D4B7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E2648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F5BAB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88.50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C8A38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F3CE4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0.12</w:t>
            </w:r>
          </w:p>
        </w:tc>
      </w:tr>
      <w:tr w14:paraId="280A6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F247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44505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160.85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87F46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160.85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6B95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71416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0.15</w:t>
            </w:r>
          </w:p>
        </w:tc>
      </w:tr>
      <w:tr w14:paraId="5645F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A1F35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BFFB6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233.25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D9939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233.20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BEAB6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81B23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0.19</w:t>
            </w:r>
          </w:p>
        </w:tc>
      </w:tr>
      <w:tr w14:paraId="50431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C7330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BCAF0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304.45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50C23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304.30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F8856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E1B1D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14:paraId="5702B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627E8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5B20A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376.75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C23C5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376.60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4F30A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CA27F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14:paraId="4DE5E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C0BEE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25B70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448.8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AB772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448.75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C6F80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E483B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14:paraId="5D068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0524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4F878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521.2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CC485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521.20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C139C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913BA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0.34</w:t>
            </w:r>
          </w:p>
        </w:tc>
      </w:tr>
      <w:tr w14:paraId="672AF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E77D9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895DB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593.65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993C0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593.55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6187F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6B002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14:paraId="6CB70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7FE3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212FC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665.6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F4091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665.45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CA742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96BBE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0.43</w:t>
            </w:r>
          </w:p>
        </w:tc>
      </w:tr>
      <w:tr w14:paraId="1DBE7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347B5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2C796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737.45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FC7B8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737.50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DAC00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C1A6C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14:paraId="3E642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EC164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DE84E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809.65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5BD0C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809.60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23E7D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42609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0.54</w:t>
            </w:r>
          </w:p>
        </w:tc>
      </w:tr>
      <w:tr w14:paraId="30FCF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7C288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EA0CB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881.95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B46DC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881.85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A7231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B767A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0.59</w:t>
            </w:r>
          </w:p>
        </w:tc>
      </w:tr>
      <w:tr w14:paraId="4A424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8AADE">
            <w:pPr>
              <w:ind w:left="0"/>
              <w:jc w:val="center"/>
              <w:rPr>
                <w:rFonts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0013B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953.85</w:t>
            </w:r>
          </w:p>
        </w:tc>
        <w:tc>
          <w:tcPr>
            <w:tcW w:w="11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C1490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953.70</w:t>
            </w:r>
          </w:p>
        </w:tc>
        <w:tc>
          <w:tcPr>
            <w:tcW w:w="10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DDA3D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12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A2ECD">
            <w:pPr>
              <w:ind w:left="0"/>
              <w:jc w:val="center"/>
              <w:rPr>
                <w:rFonts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0.65</w:t>
            </w:r>
          </w:p>
        </w:tc>
      </w:tr>
    </w:tbl>
    <w:p w14:paraId="6B2D9E9F">
      <w:pPr>
        <w:ind w:left="0"/>
        <w:rPr>
          <w:bCs/>
        </w:rPr>
      </w:pPr>
    </w:p>
    <w:p w14:paraId="502B285B">
      <w:pPr>
        <w:ind w:left="0"/>
        <w:rPr>
          <w:bCs/>
        </w:rPr>
      </w:pPr>
    </w:p>
    <w:p w14:paraId="22B808CC">
      <w:pPr>
        <w:ind w:left="0"/>
        <w:rPr>
          <w:bCs/>
        </w:rPr>
      </w:pPr>
    </w:p>
    <w:p w14:paraId="21885AB6">
      <w:pPr>
        <w:ind w:left="199" w:leftChars="83" w:firstLine="480" w:firstLineChars="200"/>
        <w:rPr>
          <w:rStyle w:val="37"/>
          <w:rFonts w:ascii="Times New Roman" w:hAnsi="Times New Roman" w:eastAsia="宋体"/>
          <w:b w:val="0"/>
          <w:sz w:val="24"/>
          <w:szCs w:val="24"/>
        </w:rPr>
      </w:pPr>
    </w:p>
    <w:sectPr>
      <w:footerReference r:id="rId3" w:type="default"/>
      <w:pgSz w:w="11906" w:h="16838"/>
      <w:pgMar w:top="1440" w:right="1134" w:bottom="1440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NVFTFW+FZSSK--GBK1-0">
    <w:altName w:val="Segoe Print"/>
    <w:panose1 w:val="00000000000000000000"/>
    <w:charset w:val="00"/>
    <w:family w:val="auto"/>
    <w:pitch w:val="default"/>
    <w:sig w:usb0="00000000" w:usb1="00000000" w:usb2="01010101" w:usb3="01010101" w:csb0="01010101" w:csb1="01010101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21AA8">
    <w:pPr>
      <w:pStyle w:val="13"/>
      <w:jc w:val="right"/>
    </w:pPr>
    <w:r>
      <w:fldChar w:fldCharType="begin"/>
    </w:r>
    <w:r>
      <w:rPr>
        <w:rStyle w:val="24"/>
      </w:rPr>
      <w:instrText xml:space="preserve"> PAGE </w:instrText>
    </w:r>
    <w:r>
      <w:fldChar w:fldCharType="separate"/>
    </w:r>
    <w:r>
      <w:rPr>
        <w:rStyle w:val="24"/>
      </w:rPr>
      <w:t>19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none"/>
      <w:pStyle w:val="47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45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4"/>
        <w:szCs w:val="24"/>
      </w:rPr>
    </w:lvl>
    <w:lvl w:ilvl="2" w:tentative="0">
      <w:start w:val="1"/>
      <w:numFmt w:val="decimal"/>
      <w:pStyle w:val="44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4"/>
      </w:rPr>
    </w:lvl>
    <w:lvl w:ilvl="3" w:tentative="0">
      <w:start w:val="1"/>
      <w:numFmt w:val="decimal"/>
      <w:pStyle w:val="51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宋体" w:cs="Times New Roman"/>
        <w:b w:val="0"/>
        <w:i w:val="0"/>
        <w:sz w:val="24"/>
        <w:szCs w:val="24"/>
      </w:rPr>
    </w:lvl>
    <w:lvl w:ilvl="4" w:tentative="0">
      <w:start w:val="1"/>
      <w:numFmt w:val="decimal"/>
      <w:pStyle w:val="5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49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48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C177485"/>
    <w:multiLevelType w:val="singleLevel"/>
    <w:tmpl w:val="6C177485"/>
    <w:lvl w:ilvl="0" w:tentative="0">
      <w:start w:val="1"/>
      <w:numFmt w:val="decimal"/>
      <w:pStyle w:val="39"/>
      <w:lvlText w:val="%1."/>
      <w:lvlJc w:val="left"/>
      <w:pPr>
        <w:tabs>
          <w:tab w:val="left" w:pos="165"/>
        </w:tabs>
        <w:ind w:left="165" w:hanging="16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80"/>
  <w:drawingGridHorizontalSpacing w:val="2"/>
  <w:drawingGridVerticalSpacing w:val="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ZjM2ExOTY5NzliMTUxM2JiZDhjMjYzNzEyYzViMDQifQ=="/>
  </w:docVars>
  <w:rsids>
    <w:rsidRoot w:val="00172A27"/>
    <w:rsid w:val="00002BD1"/>
    <w:rsid w:val="00003F10"/>
    <w:rsid w:val="00004193"/>
    <w:rsid w:val="00004668"/>
    <w:rsid w:val="00004F8D"/>
    <w:rsid w:val="00005BA2"/>
    <w:rsid w:val="0000627E"/>
    <w:rsid w:val="000068F2"/>
    <w:rsid w:val="00007D7C"/>
    <w:rsid w:val="00007FCF"/>
    <w:rsid w:val="00007FDD"/>
    <w:rsid w:val="00010965"/>
    <w:rsid w:val="0001153E"/>
    <w:rsid w:val="00011C4C"/>
    <w:rsid w:val="00012344"/>
    <w:rsid w:val="000128E3"/>
    <w:rsid w:val="00013F5B"/>
    <w:rsid w:val="000147BD"/>
    <w:rsid w:val="00014C93"/>
    <w:rsid w:val="0001558F"/>
    <w:rsid w:val="00015B5A"/>
    <w:rsid w:val="00015F95"/>
    <w:rsid w:val="0001627C"/>
    <w:rsid w:val="00016463"/>
    <w:rsid w:val="000166DD"/>
    <w:rsid w:val="00016B5A"/>
    <w:rsid w:val="00021099"/>
    <w:rsid w:val="000210B4"/>
    <w:rsid w:val="000217DC"/>
    <w:rsid w:val="00021F75"/>
    <w:rsid w:val="000221E3"/>
    <w:rsid w:val="0002258D"/>
    <w:rsid w:val="00022BFC"/>
    <w:rsid w:val="00022FE5"/>
    <w:rsid w:val="00023B0A"/>
    <w:rsid w:val="00023F40"/>
    <w:rsid w:val="000244C3"/>
    <w:rsid w:val="0002622E"/>
    <w:rsid w:val="00026924"/>
    <w:rsid w:val="00027034"/>
    <w:rsid w:val="000272A3"/>
    <w:rsid w:val="000277C4"/>
    <w:rsid w:val="0002785A"/>
    <w:rsid w:val="00027E09"/>
    <w:rsid w:val="0003017A"/>
    <w:rsid w:val="00031C36"/>
    <w:rsid w:val="000325E1"/>
    <w:rsid w:val="00033482"/>
    <w:rsid w:val="00033930"/>
    <w:rsid w:val="00035221"/>
    <w:rsid w:val="0003686F"/>
    <w:rsid w:val="000379CF"/>
    <w:rsid w:val="00037A8D"/>
    <w:rsid w:val="0004015F"/>
    <w:rsid w:val="00040239"/>
    <w:rsid w:val="000403A3"/>
    <w:rsid w:val="000419C1"/>
    <w:rsid w:val="000419EA"/>
    <w:rsid w:val="00042176"/>
    <w:rsid w:val="0004360D"/>
    <w:rsid w:val="000436D4"/>
    <w:rsid w:val="00046CC2"/>
    <w:rsid w:val="00046E4E"/>
    <w:rsid w:val="00047757"/>
    <w:rsid w:val="0005091A"/>
    <w:rsid w:val="00051C22"/>
    <w:rsid w:val="00052796"/>
    <w:rsid w:val="00052B2E"/>
    <w:rsid w:val="00053E76"/>
    <w:rsid w:val="00054268"/>
    <w:rsid w:val="0005457F"/>
    <w:rsid w:val="0005685D"/>
    <w:rsid w:val="00056BC2"/>
    <w:rsid w:val="00061C3E"/>
    <w:rsid w:val="000623BA"/>
    <w:rsid w:val="000625F5"/>
    <w:rsid w:val="000633EF"/>
    <w:rsid w:val="00063EF8"/>
    <w:rsid w:val="00063FAB"/>
    <w:rsid w:val="00064286"/>
    <w:rsid w:val="000644EF"/>
    <w:rsid w:val="0006578D"/>
    <w:rsid w:val="00066147"/>
    <w:rsid w:val="000661AE"/>
    <w:rsid w:val="00070664"/>
    <w:rsid w:val="000709FC"/>
    <w:rsid w:val="00070C14"/>
    <w:rsid w:val="00070D36"/>
    <w:rsid w:val="00071BE8"/>
    <w:rsid w:val="00071E03"/>
    <w:rsid w:val="00072210"/>
    <w:rsid w:val="000726F4"/>
    <w:rsid w:val="00072822"/>
    <w:rsid w:val="0007290A"/>
    <w:rsid w:val="0007350E"/>
    <w:rsid w:val="00073A4D"/>
    <w:rsid w:val="00073A95"/>
    <w:rsid w:val="00073BB1"/>
    <w:rsid w:val="00075E92"/>
    <w:rsid w:val="00076358"/>
    <w:rsid w:val="00076E5A"/>
    <w:rsid w:val="00077C55"/>
    <w:rsid w:val="00077D5B"/>
    <w:rsid w:val="00081603"/>
    <w:rsid w:val="00081C65"/>
    <w:rsid w:val="00081D75"/>
    <w:rsid w:val="00082067"/>
    <w:rsid w:val="00082833"/>
    <w:rsid w:val="000831DF"/>
    <w:rsid w:val="00083A49"/>
    <w:rsid w:val="00084346"/>
    <w:rsid w:val="00084C47"/>
    <w:rsid w:val="0008517A"/>
    <w:rsid w:val="00085324"/>
    <w:rsid w:val="0008589E"/>
    <w:rsid w:val="0008646E"/>
    <w:rsid w:val="000872DA"/>
    <w:rsid w:val="000878E0"/>
    <w:rsid w:val="00090249"/>
    <w:rsid w:val="00090C3A"/>
    <w:rsid w:val="00092CDA"/>
    <w:rsid w:val="00093A95"/>
    <w:rsid w:val="00095249"/>
    <w:rsid w:val="00096BBF"/>
    <w:rsid w:val="00096DCA"/>
    <w:rsid w:val="00097A7B"/>
    <w:rsid w:val="00097C56"/>
    <w:rsid w:val="00097D35"/>
    <w:rsid w:val="000A0652"/>
    <w:rsid w:val="000A0B69"/>
    <w:rsid w:val="000A2029"/>
    <w:rsid w:val="000A2574"/>
    <w:rsid w:val="000A2F66"/>
    <w:rsid w:val="000A3134"/>
    <w:rsid w:val="000A40D0"/>
    <w:rsid w:val="000A4DA6"/>
    <w:rsid w:val="000A4DC8"/>
    <w:rsid w:val="000A5CA8"/>
    <w:rsid w:val="000A702C"/>
    <w:rsid w:val="000A73A2"/>
    <w:rsid w:val="000B0046"/>
    <w:rsid w:val="000B01EB"/>
    <w:rsid w:val="000B03C0"/>
    <w:rsid w:val="000B0BBB"/>
    <w:rsid w:val="000B0C41"/>
    <w:rsid w:val="000B13A2"/>
    <w:rsid w:val="000B1551"/>
    <w:rsid w:val="000B1B1E"/>
    <w:rsid w:val="000B274B"/>
    <w:rsid w:val="000B2BCD"/>
    <w:rsid w:val="000B2CAA"/>
    <w:rsid w:val="000B2F1B"/>
    <w:rsid w:val="000B3A10"/>
    <w:rsid w:val="000B5886"/>
    <w:rsid w:val="000B6BE9"/>
    <w:rsid w:val="000B70CD"/>
    <w:rsid w:val="000B7257"/>
    <w:rsid w:val="000B7FB7"/>
    <w:rsid w:val="000C0284"/>
    <w:rsid w:val="000C19E4"/>
    <w:rsid w:val="000C26C7"/>
    <w:rsid w:val="000C2FA3"/>
    <w:rsid w:val="000C35BB"/>
    <w:rsid w:val="000C38E5"/>
    <w:rsid w:val="000C43E8"/>
    <w:rsid w:val="000C5198"/>
    <w:rsid w:val="000C5858"/>
    <w:rsid w:val="000C58A9"/>
    <w:rsid w:val="000C59C4"/>
    <w:rsid w:val="000C5BB9"/>
    <w:rsid w:val="000C5FC0"/>
    <w:rsid w:val="000C6F13"/>
    <w:rsid w:val="000C7EED"/>
    <w:rsid w:val="000D0450"/>
    <w:rsid w:val="000D09A5"/>
    <w:rsid w:val="000D1340"/>
    <w:rsid w:val="000D145B"/>
    <w:rsid w:val="000D1B1B"/>
    <w:rsid w:val="000D2595"/>
    <w:rsid w:val="000D2B43"/>
    <w:rsid w:val="000D33D3"/>
    <w:rsid w:val="000D3522"/>
    <w:rsid w:val="000D4DA7"/>
    <w:rsid w:val="000D4FF5"/>
    <w:rsid w:val="000D5AFB"/>
    <w:rsid w:val="000D5CC3"/>
    <w:rsid w:val="000D5D67"/>
    <w:rsid w:val="000D6281"/>
    <w:rsid w:val="000D63E2"/>
    <w:rsid w:val="000E0D21"/>
    <w:rsid w:val="000E101F"/>
    <w:rsid w:val="000E1A6B"/>
    <w:rsid w:val="000E1EB4"/>
    <w:rsid w:val="000E1FC2"/>
    <w:rsid w:val="000E2099"/>
    <w:rsid w:val="000E23F2"/>
    <w:rsid w:val="000E2980"/>
    <w:rsid w:val="000E333E"/>
    <w:rsid w:val="000E46E6"/>
    <w:rsid w:val="000E692D"/>
    <w:rsid w:val="000E712E"/>
    <w:rsid w:val="000E71AE"/>
    <w:rsid w:val="000E74FA"/>
    <w:rsid w:val="000F1B4A"/>
    <w:rsid w:val="000F1BFA"/>
    <w:rsid w:val="000F24C9"/>
    <w:rsid w:val="000F3104"/>
    <w:rsid w:val="000F3CAB"/>
    <w:rsid w:val="000F47A7"/>
    <w:rsid w:val="000F5707"/>
    <w:rsid w:val="000F5ADD"/>
    <w:rsid w:val="000F73AE"/>
    <w:rsid w:val="000F7979"/>
    <w:rsid w:val="000F7A88"/>
    <w:rsid w:val="000F7CA3"/>
    <w:rsid w:val="001004F8"/>
    <w:rsid w:val="001005CC"/>
    <w:rsid w:val="001018D0"/>
    <w:rsid w:val="001020C0"/>
    <w:rsid w:val="00102C56"/>
    <w:rsid w:val="00103922"/>
    <w:rsid w:val="00103A01"/>
    <w:rsid w:val="001040EA"/>
    <w:rsid w:val="001043B1"/>
    <w:rsid w:val="00104530"/>
    <w:rsid w:val="0010478C"/>
    <w:rsid w:val="00105C90"/>
    <w:rsid w:val="00105F0B"/>
    <w:rsid w:val="00106FAE"/>
    <w:rsid w:val="00107DA9"/>
    <w:rsid w:val="00107F0A"/>
    <w:rsid w:val="001104DE"/>
    <w:rsid w:val="00110CAC"/>
    <w:rsid w:val="0011195C"/>
    <w:rsid w:val="00111B5A"/>
    <w:rsid w:val="00114A02"/>
    <w:rsid w:val="00114DDD"/>
    <w:rsid w:val="00115551"/>
    <w:rsid w:val="00115757"/>
    <w:rsid w:val="00115E3A"/>
    <w:rsid w:val="00115E93"/>
    <w:rsid w:val="00116020"/>
    <w:rsid w:val="0011606E"/>
    <w:rsid w:val="00116397"/>
    <w:rsid w:val="00116AC9"/>
    <w:rsid w:val="00116F93"/>
    <w:rsid w:val="00117258"/>
    <w:rsid w:val="0011731D"/>
    <w:rsid w:val="001175C2"/>
    <w:rsid w:val="00117E8A"/>
    <w:rsid w:val="00120571"/>
    <w:rsid w:val="0012097D"/>
    <w:rsid w:val="00120E87"/>
    <w:rsid w:val="00121033"/>
    <w:rsid w:val="001212AF"/>
    <w:rsid w:val="00121505"/>
    <w:rsid w:val="001223AD"/>
    <w:rsid w:val="001223B6"/>
    <w:rsid w:val="0012366F"/>
    <w:rsid w:val="001244EF"/>
    <w:rsid w:val="001244F3"/>
    <w:rsid w:val="00124D1C"/>
    <w:rsid w:val="00125565"/>
    <w:rsid w:val="00125E61"/>
    <w:rsid w:val="001262DA"/>
    <w:rsid w:val="0012664C"/>
    <w:rsid w:val="00126B4A"/>
    <w:rsid w:val="001306EB"/>
    <w:rsid w:val="00130C52"/>
    <w:rsid w:val="001315F3"/>
    <w:rsid w:val="00131F0F"/>
    <w:rsid w:val="00131F53"/>
    <w:rsid w:val="00132123"/>
    <w:rsid w:val="00132AD4"/>
    <w:rsid w:val="00133367"/>
    <w:rsid w:val="0013446D"/>
    <w:rsid w:val="001345E7"/>
    <w:rsid w:val="00134D60"/>
    <w:rsid w:val="00134F11"/>
    <w:rsid w:val="00134FE8"/>
    <w:rsid w:val="001352AD"/>
    <w:rsid w:val="001353AC"/>
    <w:rsid w:val="001356E7"/>
    <w:rsid w:val="00136EDA"/>
    <w:rsid w:val="00137690"/>
    <w:rsid w:val="00140311"/>
    <w:rsid w:val="00140F32"/>
    <w:rsid w:val="00141D9B"/>
    <w:rsid w:val="00142700"/>
    <w:rsid w:val="00142C4E"/>
    <w:rsid w:val="001445C3"/>
    <w:rsid w:val="00146D43"/>
    <w:rsid w:val="00147746"/>
    <w:rsid w:val="0015063B"/>
    <w:rsid w:val="0015081D"/>
    <w:rsid w:val="001519E3"/>
    <w:rsid w:val="00152741"/>
    <w:rsid w:val="00152829"/>
    <w:rsid w:val="00152A19"/>
    <w:rsid w:val="00152EE3"/>
    <w:rsid w:val="0015431C"/>
    <w:rsid w:val="00156E70"/>
    <w:rsid w:val="00156F25"/>
    <w:rsid w:val="00160261"/>
    <w:rsid w:val="00161239"/>
    <w:rsid w:val="00162CAD"/>
    <w:rsid w:val="001630E3"/>
    <w:rsid w:val="00163B32"/>
    <w:rsid w:val="00163D47"/>
    <w:rsid w:val="00164B59"/>
    <w:rsid w:val="00165945"/>
    <w:rsid w:val="0016637A"/>
    <w:rsid w:val="00166AA3"/>
    <w:rsid w:val="00166D44"/>
    <w:rsid w:val="0016778F"/>
    <w:rsid w:val="0016788B"/>
    <w:rsid w:val="00167AAF"/>
    <w:rsid w:val="00167C56"/>
    <w:rsid w:val="001706E0"/>
    <w:rsid w:val="00170778"/>
    <w:rsid w:val="00171A19"/>
    <w:rsid w:val="0017270A"/>
    <w:rsid w:val="00172A27"/>
    <w:rsid w:val="00173260"/>
    <w:rsid w:val="00173876"/>
    <w:rsid w:val="00173B20"/>
    <w:rsid w:val="00174628"/>
    <w:rsid w:val="00174D81"/>
    <w:rsid w:val="0017516D"/>
    <w:rsid w:val="0017736B"/>
    <w:rsid w:val="001801BE"/>
    <w:rsid w:val="0018070C"/>
    <w:rsid w:val="00181651"/>
    <w:rsid w:val="00183138"/>
    <w:rsid w:val="00183827"/>
    <w:rsid w:val="00184B1A"/>
    <w:rsid w:val="00185C4C"/>
    <w:rsid w:val="001865D9"/>
    <w:rsid w:val="00186D84"/>
    <w:rsid w:val="00186E71"/>
    <w:rsid w:val="0018721A"/>
    <w:rsid w:val="0018730B"/>
    <w:rsid w:val="00190370"/>
    <w:rsid w:val="00190D53"/>
    <w:rsid w:val="001913D8"/>
    <w:rsid w:val="00192103"/>
    <w:rsid w:val="00192C0C"/>
    <w:rsid w:val="00192D89"/>
    <w:rsid w:val="00192FE9"/>
    <w:rsid w:val="001936E5"/>
    <w:rsid w:val="0019379A"/>
    <w:rsid w:val="00193BF4"/>
    <w:rsid w:val="00193F63"/>
    <w:rsid w:val="00194426"/>
    <w:rsid w:val="0019536F"/>
    <w:rsid w:val="0019597E"/>
    <w:rsid w:val="001962F2"/>
    <w:rsid w:val="001967CC"/>
    <w:rsid w:val="001969CB"/>
    <w:rsid w:val="00196A8B"/>
    <w:rsid w:val="001A0A2A"/>
    <w:rsid w:val="001A11B2"/>
    <w:rsid w:val="001A178C"/>
    <w:rsid w:val="001A1871"/>
    <w:rsid w:val="001A2CA9"/>
    <w:rsid w:val="001A4185"/>
    <w:rsid w:val="001A4E64"/>
    <w:rsid w:val="001A61CF"/>
    <w:rsid w:val="001A65E0"/>
    <w:rsid w:val="001A67E3"/>
    <w:rsid w:val="001A6A16"/>
    <w:rsid w:val="001A77D3"/>
    <w:rsid w:val="001B03A4"/>
    <w:rsid w:val="001B0D66"/>
    <w:rsid w:val="001B171F"/>
    <w:rsid w:val="001B1AAF"/>
    <w:rsid w:val="001B1B92"/>
    <w:rsid w:val="001B24E1"/>
    <w:rsid w:val="001B2B06"/>
    <w:rsid w:val="001B31E5"/>
    <w:rsid w:val="001B3B02"/>
    <w:rsid w:val="001B4184"/>
    <w:rsid w:val="001B4483"/>
    <w:rsid w:val="001B5A94"/>
    <w:rsid w:val="001B640D"/>
    <w:rsid w:val="001B69DF"/>
    <w:rsid w:val="001C0049"/>
    <w:rsid w:val="001C107F"/>
    <w:rsid w:val="001C1EA2"/>
    <w:rsid w:val="001C4E32"/>
    <w:rsid w:val="001C54C3"/>
    <w:rsid w:val="001C5708"/>
    <w:rsid w:val="001C5D0F"/>
    <w:rsid w:val="001C5E71"/>
    <w:rsid w:val="001C699B"/>
    <w:rsid w:val="001C7D1A"/>
    <w:rsid w:val="001D0E02"/>
    <w:rsid w:val="001D0E38"/>
    <w:rsid w:val="001D1AD3"/>
    <w:rsid w:val="001D1AD8"/>
    <w:rsid w:val="001D1FE8"/>
    <w:rsid w:val="001D2D66"/>
    <w:rsid w:val="001D307E"/>
    <w:rsid w:val="001D3234"/>
    <w:rsid w:val="001D3960"/>
    <w:rsid w:val="001D3A15"/>
    <w:rsid w:val="001D4174"/>
    <w:rsid w:val="001D46CD"/>
    <w:rsid w:val="001D585B"/>
    <w:rsid w:val="001D5FCB"/>
    <w:rsid w:val="001D694F"/>
    <w:rsid w:val="001D69BA"/>
    <w:rsid w:val="001D6BE0"/>
    <w:rsid w:val="001D7918"/>
    <w:rsid w:val="001D793F"/>
    <w:rsid w:val="001E0275"/>
    <w:rsid w:val="001E02F8"/>
    <w:rsid w:val="001E03FE"/>
    <w:rsid w:val="001E0675"/>
    <w:rsid w:val="001E1636"/>
    <w:rsid w:val="001E17AC"/>
    <w:rsid w:val="001E1C77"/>
    <w:rsid w:val="001E2373"/>
    <w:rsid w:val="001E2A63"/>
    <w:rsid w:val="001E3210"/>
    <w:rsid w:val="001E3751"/>
    <w:rsid w:val="001E3783"/>
    <w:rsid w:val="001E3A0C"/>
    <w:rsid w:val="001E41D2"/>
    <w:rsid w:val="001E44B7"/>
    <w:rsid w:val="001E44D3"/>
    <w:rsid w:val="001E4902"/>
    <w:rsid w:val="001E49DA"/>
    <w:rsid w:val="001E4D1D"/>
    <w:rsid w:val="001E4EC0"/>
    <w:rsid w:val="001E6906"/>
    <w:rsid w:val="001F07E9"/>
    <w:rsid w:val="001F132E"/>
    <w:rsid w:val="001F1435"/>
    <w:rsid w:val="001F183E"/>
    <w:rsid w:val="001F2126"/>
    <w:rsid w:val="001F3D33"/>
    <w:rsid w:val="001F4F33"/>
    <w:rsid w:val="001F547C"/>
    <w:rsid w:val="001F59AA"/>
    <w:rsid w:val="0020028D"/>
    <w:rsid w:val="0020044D"/>
    <w:rsid w:val="0020062E"/>
    <w:rsid w:val="00201238"/>
    <w:rsid w:val="002029B4"/>
    <w:rsid w:val="00202E77"/>
    <w:rsid w:val="00203DDA"/>
    <w:rsid w:val="00204600"/>
    <w:rsid w:val="002053FB"/>
    <w:rsid w:val="002061FC"/>
    <w:rsid w:val="0021164B"/>
    <w:rsid w:val="002117CE"/>
    <w:rsid w:val="00211F33"/>
    <w:rsid w:val="00212D71"/>
    <w:rsid w:val="002135AE"/>
    <w:rsid w:val="002135CD"/>
    <w:rsid w:val="002142EB"/>
    <w:rsid w:val="002149F1"/>
    <w:rsid w:val="00215031"/>
    <w:rsid w:val="002150E8"/>
    <w:rsid w:val="00215218"/>
    <w:rsid w:val="0021590A"/>
    <w:rsid w:val="00215A5B"/>
    <w:rsid w:val="00216D1C"/>
    <w:rsid w:val="00217717"/>
    <w:rsid w:val="00217A14"/>
    <w:rsid w:val="00220EA8"/>
    <w:rsid w:val="00220F18"/>
    <w:rsid w:val="002212E4"/>
    <w:rsid w:val="00221C89"/>
    <w:rsid w:val="002221B3"/>
    <w:rsid w:val="00222D1E"/>
    <w:rsid w:val="00222F1B"/>
    <w:rsid w:val="00223139"/>
    <w:rsid w:val="00223DB3"/>
    <w:rsid w:val="0022483D"/>
    <w:rsid w:val="00224BA8"/>
    <w:rsid w:val="00224CCF"/>
    <w:rsid w:val="00224F3C"/>
    <w:rsid w:val="00226425"/>
    <w:rsid w:val="00227915"/>
    <w:rsid w:val="00230E54"/>
    <w:rsid w:val="0023148E"/>
    <w:rsid w:val="00232166"/>
    <w:rsid w:val="00234213"/>
    <w:rsid w:val="00234393"/>
    <w:rsid w:val="00234744"/>
    <w:rsid w:val="0023559E"/>
    <w:rsid w:val="002356E6"/>
    <w:rsid w:val="002366A6"/>
    <w:rsid w:val="00236CD4"/>
    <w:rsid w:val="00237425"/>
    <w:rsid w:val="00237EA5"/>
    <w:rsid w:val="002404E4"/>
    <w:rsid w:val="00240DBE"/>
    <w:rsid w:val="00240F53"/>
    <w:rsid w:val="00241D31"/>
    <w:rsid w:val="0024284D"/>
    <w:rsid w:val="002429E6"/>
    <w:rsid w:val="0024302E"/>
    <w:rsid w:val="00243C87"/>
    <w:rsid w:val="00244B77"/>
    <w:rsid w:val="00245629"/>
    <w:rsid w:val="00245C42"/>
    <w:rsid w:val="00245F35"/>
    <w:rsid w:val="00246102"/>
    <w:rsid w:val="00246741"/>
    <w:rsid w:val="002476AB"/>
    <w:rsid w:val="00251032"/>
    <w:rsid w:val="00251486"/>
    <w:rsid w:val="0025172F"/>
    <w:rsid w:val="00251920"/>
    <w:rsid w:val="00252591"/>
    <w:rsid w:val="00253C0C"/>
    <w:rsid w:val="0025517E"/>
    <w:rsid w:val="00255839"/>
    <w:rsid w:val="00255C92"/>
    <w:rsid w:val="00256B82"/>
    <w:rsid w:val="00256CCC"/>
    <w:rsid w:val="00257C76"/>
    <w:rsid w:val="00257D5D"/>
    <w:rsid w:val="00257FE0"/>
    <w:rsid w:val="0026009D"/>
    <w:rsid w:val="00260CD7"/>
    <w:rsid w:val="00260DC0"/>
    <w:rsid w:val="00260FFF"/>
    <w:rsid w:val="00261477"/>
    <w:rsid w:val="002618FA"/>
    <w:rsid w:val="00261D35"/>
    <w:rsid w:val="00262A98"/>
    <w:rsid w:val="00262CF3"/>
    <w:rsid w:val="00263732"/>
    <w:rsid w:val="0026493F"/>
    <w:rsid w:val="00264BBC"/>
    <w:rsid w:val="002664C8"/>
    <w:rsid w:val="00266A8E"/>
    <w:rsid w:val="002708D7"/>
    <w:rsid w:val="00270B1A"/>
    <w:rsid w:val="00270B29"/>
    <w:rsid w:val="00270B4F"/>
    <w:rsid w:val="002714D0"/>
    <w:rsid w:val="002727A9"/>
    <w:rsid w:val="00272C4C"/>
    <w:rsid w:val="0027418F"/>
    <w:rsid w:val="002744CB"/>
    <w:rsid w:val="002744E5"/>
    <w:rsid w:val="00274F09"/>
    <w:rsid w:val="00276523"/>
    <w:rsid w:val="00276E9D"/>
    <w:rsid w:val="00277035"/>
    <w:rsid w:val="00280018"/>
    <w:rsid w:val="00281063"/>
    <w:rsid w:val="002822E6"/>
    <w:rsid w:val="002824E9"/>
    <w:rsid w:val="00283A3B"/>
    <w:rsid w:val="00283D0B"/>
    <w:rsid w:val="00284683"/>
    <w:rsid w:val="00284707"/>
    <w:rsid w:val="002848FC"/>
    <w:rsid w:val="00284BFF"/>
    <w:rsid w:val="00284CC4"/>
    <w:rsid w:val="0028526D"/>
    <w:rsid w:val="0028562C"/>
    <w:rsid w:val="00285D3F"/>
    <w:rsid w:val="00285D89"/>
    <w:rsid w:val="00287292"/>
    <w:rsid w:val="0028784D"/>
    <w:rsid w:val="00287AFC"/>
    <w:rsid w:val="00287D59"/>
    <w:rsid w:val="0029066E"/>
    <w:rsid w:val="00290B3A"/>
    <w:rsid w:val="002926E7"/>
    <w:rsid w:val="00292A47"/>
    <w:rsid w:val="002939BC"/>
    <w:rsid w:val="00293DD1"/>
    <w:rsid w:val="002942AB"/>
    <w:rsid w:val="00295786"/>
    <w:rsid w:val="00295AA6"/>
    <w:rsid w:val="002962F4"/>
    <w:rsid w:val="00296BB4"/>
    <w:rsid w:val="002A0759"/>
    <w:rsid w:val="002A0E67"/>
    <w:rsid w:val="002A0EED"/>
    <w:rsid w:val="002A1B10"/>
    <w:rsid w:val="002A1BE1"/>
    <w:rsid w:val="002A2015"/>
    <w:rsid w:val="002A2283"/>
    <w:rsid w:val="002A30C1"/>
    <w:rsid w:val="002A3D9F"/>
    <w:rsid w:val="002A40A0"/>
    <w:rsid w:val="002A588A"/>
    <w:rsid w:val="002A5ADF"/>
    <w:rsid w:val="002A5D4A"/>
    <w:rsid w:val="002A6D55"/>
    <w:rsid w:val="002A6F22"/>
    <w:rsid w:val="002B0973"/>
    <w:rsid w:val="002B0AE0"/>
    <w:rsid w:val="002B168A"/>
    <w:rsid w:val="002B177A"/>
    <w:rsid w:val="002B1AB7"/>
    <w:rsid w:val="002B1CCA"/>
    <w:rsid w:val="002B2049"/>
    <w:rsid w:val="002B233D"/>
    <w:rsid w:val="002B2ACD"/>
    <w:rsid w:val="002B3587"/>
    <w:rsid w:val="002B35BC"/>
    <w:rsid w:val="002B3CDC"/>
    <w:rsid w:val="002B4519"/>
    <w:rsid w:val="002B479B"/>
    <w:rsid w:val="002B51DD"/>
    <w:rsid w:val="002B55ED"/>
    <w:rsid w:val="002B57D3"/>
    <w:rsid w:val="002B5C12"/>
    <w:rsid w:val="002B5C49"/>
    <w:rsid w:val="002B6617"/>
    <w:rsid w:val="002B6781"/>
    <w:rsid w:val="002B75B6"/>
    <w:rsid w:val="002B7A68"/>
    <w:rsid w:val="002C006A"/>
    <w:rsid w:val="002C00B5"/>
    <w:rsid w:val="002C08A5"/>
    <w:rsid w:val="002C0DFF"/>
    <w:rsid w:val="002C19DF"/>
    <w:rsid w:val="002C1E45"/>
    <w:rsid w:val="002C1FD6"/>
    <w:rsid w:val="002C21AE"/>
    <w:rsid w:val="002C321A"/>
    <w:rsid w:val="002C3D26"/>
    <w:rsid w:val="002C4100"/>
    <w:rsid w:val="002C5125"/>
    <w:rsid w:val="002C523E"/>
    <w:rsid w:val="002C5395"/>
    <w:rsid w:val="002C5E30"/>
    <w:rsid w:val="002C64F6"/>
    <w:rsid w:val="002C668D"/>
    <w:rsid w:val="002C7FB0"/>
    <w:rsid w:val="002D16ED"/>
    <w:rsid w:val="002D1C8C"/>
    <w:rsid w:val="002D347E"/>
    <w:rsid w:val="002D38DA"/>
    <w:rsid w:val="002D5004"/>
    <w:rsid w:val="002D538B"/>
    <w:rsid w:val="002D5698"/>
    <w:rsid w:val="002D58C6"/>
    <w:rsid w:val="002D6ACB"/>
    <w:rsid w:val="002D7068"/>
    <w:rsid w:val="002D7AF4"/>
    <w:rsid w:val="002E025C"/>
    <w:rsid w:val="002E1CCC"/>
    <w:rsid w:val="002E233A"/>
    <w:rsid w:val="002E235B"/>
    <w:rsid w:val="002E3424"/>
    <w:rsid w:val="002E3759"/>
    <w:rsid w:val="002E3D7E"/>
    <w:rsid w:val="002E3FFD"/>
    <w:rsid w:val="002E41F8"/>
    <w:rsid w:val="002E4303"/>
    <w:rsid w:val="002E4E52"/>
    <w:rsid w:val="002E6E25"/>
    <w:rsid w:val="002E7D28"/>
    <w:rsid w:val="002F088F"/>
    <w:rsid w:val="002F13C2"/>
    <w:rsid w:val="002F1AE9"/>
    <w:rsid w:val="002F1B85"/>
    <w:rsid w:val="002F1E5C"/>
    <w:rsid w:val="002F2E00"/>
    <w:rsid w:val="002F38CE"/>
    <w:rsid w:val="002F44E6"/>
    <w:rsid w:val="002F4B8B"/>
    <w:rsid w:val="002F5818"/>
    <w:rsid w:val="002F5CE7"/>
    <w:rsid w:val="002F6142"/>
    <w:rsid w:val="002F624B"/>
    <w:rsid w:val="002F7027"/>
    <w:rsid w:val="002F78E4"/>
    <w:rsid w:val="002F78ED"/>
    <w:rsid w:val="002F7EA5"/>
    <w:rsid w:val="00300624"/>
    <w:rsid w:val="003006C6"/>
    <w:rsid w:val="00301229"/>
    <w:rsid w:val="00301863"/>
    <w:rsid w:val="00301E26"/>
    <w:rsid w:val="003034EA"/>
    <w:rsid w:val="00304305"/>
    <w:rsid w:val="00304639"/>
    <w:rsid w:val="00305E31"/>
    <w:rsid w:val="003067EC"/>
    <w:rsid w:val="00307146"/>
    <w:rsid w:val="00310154"/>
    <w:rsid w:val="0031277D"/>
    <w:rsid w:val="00312EF0"/>
    <w:rsid w:val="0031356D"/>
    <w:rsid w:val="003139F5"/>
    <w:rsid w:val="00313A3D"/>
    <w:rsid w:val="00313E76"/>
    <w:rsid w:val="003141D1"/>
    <w:rsid w:val="003148EC"/>
    <w:rsid w:val="00315A89"/>
    <w:rsid w:val="00315E8D"/>
    <w:rsid w:val="00315EB4"/>
    <w:rsid w:val="00316DEF"/>
    <w:rsid w:val="00316DF2"/>
    <w:rsid w:val="003174F4"/>
    <w:rsid w:val="00317886"/>
    <w:rsid w:val="00317B01"/>
    <w:rsid w:val="0032168D"/>
    <w:rsid w:val="00324430"/>
    <w:rsid w:val="00324AD8"/>
    <w:rsid w:val="00324C58"/>
    <w:rsid w:val="00325D9A"/>
    <w:rsid w:val="00327364"/>
    <w:rsid w:val="00330027"/>
    <w:rsid w:val="00330424"/>
    <w:rsid w:val="003316CF"/>
    <w:rsid w:val="0033240E"/>
    <w:rsid w:val="0033275F"/>
    <w:rsid w:val="0033283F"/>
    <w:rsid w:val="00332BB7"/>
    <w:rsid w:val="00333988"/>
    <w:rsid w:val="00334587"/>
    <w:rsid w:val="003349D8"/>
    <w:rsid w:val="00335016"/>
    <w:rsid w:val="003352E9"/>
    <w:rsid w:val="00335720"/>
    <w:rsid w:val="00335C02"/>
    <w:rsid w:val="003363E6"/>
    <w:rsid w:val="00336DB7"/>
    <w:rsid w:val="0033715C"/>
    <w:rsid w:val="003378D9"/>
    <w:rsid w:val="003379EF"/>
    <w:rsid w:val="00337B11"/>
    <w:rsid w:val="00340A64"/>
    <w:rsid w:val="00341A3C"/>
    <w:rsid w:val="00341AA2"/>
    <w:rsid w:val="00341CA5"/>
    <w:rsid w:val="0034259A"/>
    <w:rsid w:val="00343186"/>
    <w:rsid w:val="00343EFE"/>
    <w:rsid w:val="00344533"/>
    <w:rsid w:val="00344EA4"/>
    <w:rsid w:val="00345181"/>
    <w:rsid w:val="00346CB9"/>
    <w:rsid w:val="003500C4"/>
    <w:rsid w:val="00350A9D"/>
    <w:rsid w:val="00351580"/>
    <w:rsid w:val="00351C9F"/>
    <w:rsid w:val="003529A0"/>
    <w:rsid w:val="003538D6"/>
    <w:rsid w:val="00353F83"/>
    <w:rsid w:val="003549F8"/>
    <w:rsid w:val="00354C27"/>
    <w:rsid w:val="0035517C"/>
    <w:rsid w:val="00355502"/>
    <w:rsid w:val="003557D4"/>
    <w:rsid w:val="00355BC4"/>
    <w:rsid w:val="00355FB7"/>
    <w:rsid w:val="00356641"/>
    <w:rsid w:val="003568D5"/>
    <w:rsid w:val="003603DB"/>
    <w:rsid w:val="003607DF"/>
    <w:rsid w:val="00361376"/>
    <w:rsid w:val="003614A8"/>
    <w:rsid w:val="00361797"/>
    <w:rsid w:val="00363BC9"/>
    <w:rsid w:val="003643C7"/>
    <w:rsid w:val="00365CE3"/>
    <w:rsid w:val="003662AD"/>
    <w:rsid w:val="003678C0"/>
    <w:rsid w:val="00367F01"/>
    <w:rsid w:val="003709C5"/>
    <w:rsid w:val="0037172A"/>
    <w:rsid w:val="00372D4C"/>
    <w:rsid w:val="003737CB"/>
    <w:rsid w:val="00373BFB"/>
    <w:rsid w:val="00374A8A"/>
    <w:rsid w:val="00375051"/>
    <w:rsid w:val="003758FB"/>
    <w:rsid w:val="00376B8A"/>
    <w:rsid w:val="00377BA8"/>
    <w:rsid w:val="003801B2"/>
    <w:rsid w:val="0038092E"/>
    <w:rsid w:val="0038098A"/>
    <w:rsid w:val="00380DC3"/>
    <w:rsid w:val="00381C23"/>
    <w:rsid w:val="00382394"/>
    <w:rsid w:val="003823B3"/>
    <w:rsid w:val="00382508"/>
    <w:rsid w:val="003829C0"/>
    <w:rsid w:val="00383B9E"/>
    <w:rsid w:val="00384321"/>
    <w:rsid w:val="003845AC"/>
    <w:rsid w:val="003845CC"/>
    <w:rsid w:val="00386470"/>
    <w:rsid w:val="0038655C"/>
    <w:rsid w:val="00386DD0"/>
    <w:rsid w:val="003873CF"/>
    <w:rsid w:val="00387EF8"/>
    <w:rsid w:val="00391392"/>
    <w:rsid w:val="003928EB"/>
    <w:rsid w:val="0039351F"/>
    <w:rsid w:val="00394EAC"/>
    <w:rsid w:val="003955B8"/>
    <w:rsid w:val="00395CD8"/>
    <w:rsid w:val="00395ED5"/>
    <w:rsid w:val="003967A9"/>
    <w:rsid w:val="003968D4"/>
    <w:rsid w:val="00396BAE"/>
    <w:rsid w:val="0039700E"/>
    <w:rsid w:val="003972C8"/>
    <w:rsid w:val="003A0278"/>
    <w:rsid w:val="003A08FF"/>
    <w:rsid w:val="003A0E65"/>
    <w:rsid w:val="003A106A"/>
    <w:rsid w:val="003A10C7"/>
    <w:rsid w:val="003A157A"/>
    <w:rsid w:val="003A2620"/>
    <w:rsid w:val="003A2955"/>
    <w:rsid w:val="003A29B5"/>
    <w:rsid w:val="003A3EF8"/>
    <w:rsid w:val="003A4A33"/>
    <w:rsid w:val="003A5107"/>
    <w:rsid w:val="003A53E1"/>
    <w:rsid w:val="003A57A6"/>
    <w:rsid w:val="003A5C1C"/>
    <w:rsid w:val="003A5D62"/>
    <w:rsid w:val="003A5EBA"/>
    <w:rsid w:val="003A690D"/>
    <w:rsid w:val="003A7157"/>
    <w:rsid w:val="003A73C9"/>
    <w:rsid w:val="003A791D"/>
    <w:rsid w:val="003B0166"/>
    <w:rsid w:val="003B0347"/>
    <w:rsid w:val="003B054B"/>
    <w:rsid w:val="003B0FB4"/>
    <w:rsid w:val="003B1822"/>
    <w:rsid w:val="003B2170"/>
    <w:rsid w:val="003B27C0"/>
    <w:rsid w:val="003B3AE1"/>
    <w:rsid w:val="003B40C6"/>
    <w:rsid w:val="003B4D24"/>
    <w:rsid w:val="003B51BE"/>
    <w:rsid w:val="003B56A2"/>
    <w:rsid w:val="003B6592"/>
    <w:rsid w:val="003B6953"/>
    <w:rsid w:val="003B6CCC"/>
    <w:rsid w:val="003B7793"/>
    <w:rsid w:val="003B7BB0"/>
    <w:rsid w:val="003C098C"/>
    <w:rsid w:val="003C112A"/>
    <w:rsid w:val="003C140D"/>
    <w:rsid w:val="003C38AA"/>
    <w:rsid w:val="003C49C4"/>
    <w:rsid w:val="003C50E6"/>
    <w:rsid w:val="003C68F2"/>
    <w:rsid w:val="003C731D"/>
    <w:rsid w:val="003C75E3"/>
    <w:rsid w:val="003C7AEF"/>
    <w:rsid w:val="003C7D9A"/>
    <w:rsid w:val="003D0B2C"/>
    <w:rsid w:val="003D1C42"/>
    <w:rsid w:val="003D20CB"/>
    <w:rsid w:val="003D2419"/>
    <w:rsid w:val="003D262E"/>
    <w:rsid w:val="003D31B7"/>
    <w:rsid w:val="003D39C3"/>
    <w:rsid w:val="003D3B5E"/>
    <w:rsid w:val="003D4CF1"/>
    <w:rsid w:val="003D5E14"/>
    <w:rsid w:val="003D63BC"/>
    <w:rsid w:val="003D75F1"/>
    <w:rsid w:val="003D76CD"/>
    <w:rsid w:val="003D7C3D"/>
    <w:rsid w:val="003E0DEA"/>
    <w:rsid w:val="003E290D"/>
    <w:rsid w:val="003E3FF7"/>
    <w:rsid w:val="003E589A"/>
    <w:rsid w:val="003E6BE5"/>
    <w:rsid w:val="003E7091"/>
    <w:rsid w:val="003F0C3D"/>
    <w:rsid w:val="003F1048"/>
    <w:rsid w:val="003F1629"/>
    <w:rsid w:val="003F2E1A"/>
    <w:rsid w:val="004010F9"/>
    <w:rsid w:val="00401374"/>
    <w:rsid w:val="00402F96"/>
    <w:rsid w:val="00404B1F"/>
    <w:rsid w:val="00406004"/>
    <w:rsid w:val="00406097"/>
    <w:rsid w:val="00406775"/>
    <w:rsid w:val="00406DCB"/>
    <w:rsid w:val="0040725E"/>
    <w:rsid w:val="00407502"/>
    <w:rsid w:val="00407D58"/>
    <w:rsid w:val="00410090"/>
    <w:rsid w:val="0041063A"/>
    <w:rsid w:val="004116FD"/>
    <w:rsid w:val="00411B19"/>
    <w:rsid w:val="00413F82"/>
    <w:rsid w:val="0041429B"/>
    <w:rsid w:val="0041470F"/>
    <w:rsid w:val="00416072"/>
    <w:rsid w:val="00417B74"/>
    <w:rsid w:val="00421109"/>
    <w:rsid w:val="00422848"/>
    <w:rsid w:val="00422A21"/>
    <w:rsid w:val="00422A53"/>
    <w:rsid w:val="00423234"/>
    <w:rsid w:val="00423F8A"/>
    <w:rsid w:val="0042437E"/>
    <w:rsid w:val="00425075"/>
    <w:rsid w:val="004256A2"/>
    <w:rsid w:val="004259AC"/>
    <w:rsid w:val="0042683A"/>
    <w:rsid w:val="00430378"/>
    <w:rsid w:val="00432518"/>
    <w:rsid w:val="00433025"/>
    <w:rsid w:val="00433190"/>
    <w:rsid w:val="00435CCF"/>
    <w:rsid w:val="00436BF1"/>
    <w:rsid w:val="00436ED4"/>
    <w:rsid w:val="004378B0"/>
    <w:rsid w:val="00441065"/>
    <w:rsid w:val="004420BE"/>
    <w:rsid w:val="004423CE"/>
    <w:rsid w:val="0044248C"/>
    <w:rsid w:val="00442708"/>
    <w:rsid w:val="004429B0"/>
    <w:rsid w:val="00442A9D"/>
    <w:rsid w:val="00443134"/>
    <w:rsid w:val="00443C09"/>
    <w:rsid w:val="00443DFD"/>
    <w:rsid w:val="00443F00"/>
    <w:rsid w:val="00444496"/>
    <w:rsid w:val="0044538D"/>
    <w:rsid w:val="00445D0E"/>
    <w:rsid w:val="00447236"/>
    <w:rsid w:val="00447829"/>
    <w:rsid w:val="004478D3"/>
    <w:rsid w:val="00447DE0"/>
    <w:rsid w:val="004506EB"/>
    <w:rsid w:val="00450B72"/>
    <w:rsid w:val="004516DF"/>
    <w:rsid w:val="00451C96"/>
    <w:rsid w:val="00451F8F"/>
    <w:rsid w:val="0045211A"/>
    <w:rsid w:val="00452B40"/>
    <w:rsid w:val="00452C24"/>
    <w:rsid w:val="004542EB"/>
    <w:rsid w:val="004548DD"/>
    <w:rsid w:val="00454C1D"/>
    <w:rsid w:val="004551F5"/>
    <w:rsid w:val="00455AE5"/>
    <w:rsid w:val="00455F7B"/>
    <w:rsid w:val="00455FE0"/>
    <w:rsid w:val="0045664A"/>
    <w:rsid w:val="00457CF2"/>
    <w:rsid w:val="00462D10"/>
    <w:rsid w:val="00463B94"/>
    <w:rsid w:val="004643DF"/>
    <w:rsid w:val="0046448A"/>
    <w:rsid w:val="004658AD"/>
    <w:rsid w:val="00466187"/>
    <w:rsid w:val="00466550"/>
    <w:rsid w:val="0046701B"/>
    <w:rsid w:val="004679A5"/>
    <w:rsid w:val="004704FC"/>
    <w:rsid w:val="004712A6"/>
    <w:rsid w:val="004724AC"/>
    <w:rsid w:val="0047296F"/>
    <w:rsid w:val="00473A45"/>
    <w:rsid w:val="00474518"/>
    <w:rsid w:val="00475203"/>
    <w:rsid w:val="00475C05"/>
    <w:rsid w:val="00476C39"/>
    <w:rsid w:val="00476D65"/>
    <w:rsid w:val="00477019"/>
    <w:rsid w:val="0047743A"/>
    <w:rsid w:val="00477AB3"/>
    <w:rsid w:val="00477D46"/>
    <w:rsid w:val="00480E49"/>
    <w:rsid w:val="00480F5A"/>
    <w:rsid w:val="0048139F"/>
    <w:rsid w:val="00481998"/>
    <w:rsid w:val="00481C34"/>
    <w:rsid w:val="004832BF"/>
    <w:rsid w:val="00485548"/>
    <w:rsid w:val="00485FC2"/>
    <w:rsid w:val="0048680C"/>
    <w:rsid w:val="00486AD0"/>
    <w:rsid w:val="00486B3B"/>
    <w:rsid w:val="0048744C"/>
    <w:rsid w:val="004874C9"/>
    <w:rsid w:val="00490595"/>
    <w:rsid w:val="00490E7D"/>
    <w:rsid w:val="0049218D"/>
    <w:rsid w:val="0049229B"/>
    <w:rsid w:val="00492D8C"/>
    <w:rsid w:val="004950BF"/>
    <w:rsid w:val="004951EE"/>
    <w:rsid w:val="0049593D"/>
    <w:rsid w:val="00496156"/>
    <w:rsid w:val="00496A9B"/>
    <w:rsid w:val="00496B07"/>
    <w:rsid w:val="00497C56"/>
    <w:rsid w:val="00497DB5"/>
    <w:rsid w:val="00497E3E"/>
    <w:rsid w:val="004A02B0"/>
    <w:rsid w:val="004A0342"/>
    <w:rsid w:val="004A0688"/>
    <w:rsid w:val="004A0D6F"/>
    <w:rsid w:val="004A0DE2"/>
    <w:rsid w:val="004A0EB8"/>
    <w:rsid w:val="004A2453"/>
    <w:rsid w:val="004A4144"/>
    <w:rsid w:val="004A42E9"/>
    <w:rsid w:val="004A51FD"/>
    <w:rsid w:val="004A6165"/>
    <w:rsid w:val="004A630D"/>
    <w:rsid w:val="004A7675"/>
    <w:rsid w:val="004B2E51"/>
    <w:rsid w:val="004B4084"/>
    <w:rsid w:val="004B50B2"/>
    <w:rsid w:val="004B62F2"/>
    <w:rsid w:val="004B63F6"/>
    <w:rsid w:val="004C23A4"/>
    <w:rsid w:val="004C3271"/>
    <w:rsid w:val="004C412E"/>
    <w:rsid w:val="004C45C2"/>
    <w:rsid w:val="004C49F2"/>
    <w:rsid w:val="004C507A"/>
    <w:rsid w:val="004C5278"/>
    <w:rsid w:val="004C71F2"/>
    <w:rsid w:val="004C7E62"/>
    <w:rsid w:val="004D08DB"/>
    <w:rsid w:val="004D1C6B"/>
    <w:rsid w:val="004D2BD4"/>
    <w:rsid w:val="004D3282"/>
    <w:rsid w:val="004D3563"/>
    <w:rsid w:val="004D390A"/>
    <w:rsid w:val="004D5FF7"/>
    <w:rsid w:val="004D6182"/>
    <w:rsid w:val="004D664D"/>
    <w:rsid w:val="004D6C1E"/>
    <w:rsid w:val="004D6D18"/>
    <w:rsid w:val="004D6F92"/>
    <w:rsid w:val="004D74C3"/>
    <w:rsid w:val="004E037A"/>
    <w:rsid w:val="004E1272"/>
    <w:rsid w:val="004E15B3"/>
    <w:rsid w:val="004E36A3"/>
    <w:rsid w:val="004E5113"/>
    <w:rsid w:val="004E580D"/>
    <w:rsid w:val="004E62EE"/>
    <w:rsid w:val="004E6FA8"/>
    <w:rsid w:val="004E7432"/>
    <w:rsid w:val="004E7DBE"/>
    <w:rsid w:val="004F0135"/>
    <w:rsid w:val="004F0548"/>
    <w:rsid w:val="004F07C1"/>
    <w:rsid w:val="004F1359"/>
    <w:rsid w:val="004F225F"/>
    <w:rsid w:val="004F31AD"/>
    <w:rsid w:val="004F3A13"/>
    <w:rsid w:val="004F49B3"/>
    <w:rsid w:val="004F5A2F"/>
    <w:rsid w:val="004F6324"/>
    <w:rsid w:val="004F65D1"/>
    <w:rsid w:val="004F6871"/>
    <w:rsid w:val="004F688A"/>
    <w:rsid w:val="004F6BA3"/>
    <w:rsid w:val="004F6D77"/>
    <w:rsid w:val="004F6FBA"/>
    <w:rsid w:val="004F7398"/>
    <w:rsid w:val="004F7D18"/>
    <w:rsid w:val="00501668"/>
    <w:rsid w:val="0050247D"/>
    <w:rsid w:val="005025AF"/>
    <w:rsid w:val="00502634"/>
    <w:rsid w:val="005027DF"/>
    <w:rsid w:val="005035FB"/>
    <w:rsid w:val="00503E9D"/>
    <w:rsid w:val="00504E65"/>
    <w:rsid w:val="005050BC"/>
    <w:rsid w:val="00505E3C"/>
    <w:rsid w:val="005060A7"/>
    <w:rsid w:val="00507352"/>
    <w:rsid w:val="00510C08"/>
    <w:rsid w:val="00510F84"/>
    <w:rsid w:val="00511473"/>
    <w:rsid w:val="005122D8"/>
    <w:rsid w:val="00514911"/>
    <w:rsid w:val="005156C4"/>
    <w:rsid w:val="0051672C"/>
    <w:rsid w:val="005202FC"/>
    <w:rsid w:val="005206F2"/>
    <w:rsid w:val="005213C7"/>
    <w:rsid w:val="00521FBC"/>
    <w:rsid w:val="00524B95"/>
    <w:rsid w:val="00525FE3"/>
    <w:rsid w:val="00527D8C"/>
    <w:rsid w:val="005307F8"/>
    <w:rsid w:val="005309C3"/>
    <w:rsid w:val="00531992"/>
    <w:rsid w:val="00531CB7"/>
    <w:rsid w:val="005325BE"/>
    <w:rsid w:val="005331EB"/>
    <w:rsid w:val="00533222"/>
    <w:rsid w:val="00534969"/>
    <w:rsid w:val="00534D51"/>
    <w:rsid w:val="0053510A"/>
    <w:rsid w:val="0053543B"/>
    <w:rsid w:val="005366D8"/>
    <w:rsid w:val="0053705B"/>
    <w:rsid w:val="00537636"/>
    <w:rsid w:val="00537674"/>
    <w:rsid w:val="00537F02"/>
    <w:rsid w:val="005407D3"/>
    <w:rsid w:val="00540BD0"/>
    <w:rsid w:val="00540DD2"/>
    <w:rsid w:val="00542424"/>
    <w:rsid w:val="00543770"/>
    <w:rsid w:val="0054380D"/>
    <w:rsid w:val="00544E22"/>
    <w:rsid w:val="00545036"/>
    <w:rsid w:val="005457FC"/>
    <w:rsid w:val="00545DA5"/>
    <w:rsid w:val="00546385"/>
    <w:rsid w:val="005474B6"/>
    <w:rsid w:val="00547813"/>
    <w:rsid w:val="00547A37"/>
    <w:rsid w:val="00547E8C"/>
    <w:rsid w:val="00551E71"/>
    <w:rsid w:val="00551F9E"/>
    <w:rsid w:val="00552082"/>
    <w:rsid w:val="005544A8"/>
    <w:rsid w:val="005546F6"/>
    <w:rsid w:val="00554F81"/>
    <w:rsid w:val="00555312"/>
    <w:rsid w:val="00557EDE"/>
    <w:rsid w:val="0056062C"/>
    <w:rsid w:val="00560C63"/>
    <w:rsid w:val="005621D4"/>
    <w:rsid w:val="00562CDF"/>
    <w:rsid w:val="00564031"/>
    <w:rsid w:val="00565720"/>
    <w:rsid w:val="00566BC8"/>
    <w:rsid w:val="00567F9E"/>
    <w:rsid w:val="0057010F"/>
    <w:rsid w:val="005703D7"/>
    <w:rsid w:val="005721BD"/>
    <w:rsid w:val="00572E61"/>
    <w:rsid w:val="00573C50"/>
    <w:rsid w:val="0057427C"/>
    <w:rsid w:val="00574842"/>
    <w:rsid w:val="0057611B"/>
    <w:rsid w:val="00576E5D"/>
    <w:rsid w:val="0057717C"/>
    <w:rsid w:val="0057719A"/>
    <w:rsid w:val="005801E8"/>
    <w:rsid w:val="005804C8"/>
    <w:rsid w:val="00583552"/>
    <w:rsid w:val="00584567"/>
    <w:rsid w:val="005853C0"/>
    <w:rsid w:val="005859F8"/>
    <w:rsid w:val="00585C17"/>
    <w:rsid w:val="0058668C"/>
    <w:rsid w:val="00587100"/>
    <w:rsid w:val="005902A0"/>
    <w:rsid w:val="00591AA6"/>
    <w:rsid w:val="00592EDA"/>
    <w:rsid w:val="00594696"/>
    <w:rsid w:val="00594F22"/>
    <w:rsid w:val="0059502B"/>
    <w:rsid w:val="0059598C"/>
    <w:rsid w:val="005967C4"/>
    <w:rsid w:val="005970E2"/>
    <w:rsid w:val="00597374"/>
    <w:rsid w:val="00597D57"/>
    <w:rsid w:val="005A00C5"/>
    <w:rsid w:val="005A0237"/>
    <w:rsid w:val="005A05C4"/>
    <w:rsid w:val="005A11DE"/>
    <w:rsid w:val="005A1221"/>
    <w:rsid w:val="005A13BE"/>
    <w:rsid w:val="005A1C35"/>
    <w:rsid w:val="005A2549"/>
    <w:rsid w:val="005A264C"/>
    <w:rsid w:val="005A2C52"/>
    <w:rsid w:val="005A2DF7"/>
    <w:rsid w:val="005A3850"/>
    <w:rsid w:val="005A4559"/>
    <w:rsid w:val="005A4E9D"/>
    <w:rsid w:val="005A4F19"/>
    <w:rsid w:val="005A5478"/>
    <w:rsid w:val="005A60D6"/>
    <w:rsid w:val="005A695E"/>
    <w:rsid w:val="005A6E32"/>
    <w:rsid w:val="005A726C"/>
    <w:rsid w:val="005A7617"/>
    <w:rsid w:val="005A7A3B"/>
    <w:rsid w:val="005A7F7F"/>
    <w:rsid w:val="005B087F"/>
    <w:rsid w:val="005B0975"/>
    <w:rsid w:val="005B1F0B"/>
    <w:rsid w:val="005B2A3D"/>
    <w:rsid w:val="005B2A8B"/>
    <w:rsid w:val="005B2CF6"/>
    <w:rsid w:val="005B425A"/>
    <w:rsid w:val="005B4B87"/>
    <w:rsid w:val="005B5769"/>
    <w:rsid w:val="005B6169"/>
    <w:rsid w:val="005B65A8"/>
    <w:rsid w:val="005B666F"/>
    <w:rsid w:val="005B6E7E"/>
    <w:rsid w:val="005B7788"/>
    <w:rsid w:val="005C070B"/>
    <w:rsid w:val="005C1172"/>
    <w:rsid w:val="005C1CC0"/>
    <w:rsid w:val="005C2C1A"/>
    <w:rsid w:val="005C3649"/>
    <w:rsid w:val="005C4121"/>
    <w:rsid w:val="005C42E2"/>
    <w:rsid w:val="005C5C94"/>
    <w:rsid w:val="005C6227"/>
    <w:rsid w:val="005C703E"/>
    <w:rsid w:val="005D0601"/>
    <w:rsid w:val="005D0677"/>
    <w:rsid w:val="005D089C"/>
    <w:rsid w:val="005D0D56"/>
    <w:rsid w:val="005D426B"/>
    <w:rsid w:val="005D4596"/>
    <w:rsid w:val="005D5343"/>
    <w:rsid w:val="005D5849"/>
    <w:rsid w:val="005D5A53"/>
    <w:rsid w:val="005D67AC"/>
    <w:rsid w:val="005D7588"/>
    <w:rsid w:val="005E01C4"/>
    <w:rsid w:val="005E0323"/>
    <w:rsid w:val="005E07C6"/>
    <w:rsid w:val="005E082C"/>
    <w:rsid w:val="005E0963"/>
    <w:rsid w:val="005E115E"/>
    <w:rsid w:val="005E2113"/>
    <w:rsid w:val="005E2285"/>
    <w:rsid w:val="005E25D1"/>
    <w:rsid w:val="005E2AB1"/>
    <w:rsid w:val="005E2D9F"/>
    <w:rsid w:val="005E3F8C"/>
    <w:rsid w:val="005E41B3"/>
    <w:rsid w:val="005E4218"/>
    <w:rsid w:val="005E4420"/>
    <w:rsid w:val="005E54E1"/>
    <w:rsid w:val="005E5D06"/>
    <w:rsid w:val="005E5D9B"/>
    <w:rsid w:val="005E5E1C"/>
    <w:rsid w:val="005E66DB"/>
    <w:rsid w:val="005E6888"/>
    <w:rsid w:val="005E791A"/>
    <w:rsid w:val="005F036C"/>
    <w:rsid w:val="005F0E41"/>
    <w:rsid w:val="005F14FD"/>
    <w:rsid w:val="005F1A7C"/>
    <w:rsid w:val="005F1DC3"/>
    <w:rsid w:val="005F2D06"/>
    <w:rsid w:val="005F339B"/>
    <w:rsid w:val="005F3864"/>
    <w:rsid w:val="005F3E5E"/>
    <w:rsid w:val="005F45CB"/>
    <w:rsid w:val="005F49DF"/>
    <w:rsid w:val="005F4E20"/>
    <w:rsid w:val="005F5A09"/>
    <w:rsid w:val="005F61F3"/>
    <w:rsid w:val="005F7295"/>
    <w:rsid w:val="005F76E5"/>
    <w:rsid w:val="00600141"/>
    <w:rsid w:val="00600253"/>
    <w:rsid w:val="0060038C"/>
    <w:rsid w:val="00601362"/>
    <w:rsid w:val="0060337D"/>
    <w:rsid w:val="00603566"/>
    <w:rsid w:val="00603F0B"/>
    <w:rsid w:val="00605465"/>
    <w:rsid w:val="00605B8D"/>
    <w:rsid w:val="006060AE"/>
    <w:rsid w:val="006072A5"/>
    <w:rsid w:val="0060780E"/>
    <w:rsid w:val="00607B3B"/>
    <w:rsid w:val="00607CAB"/>
    <w:rsid w:val="00610F6D"/>
    <w:rsid w:val="006115EC"/>
    <w:rsid w:val="0061173D"/>
    <w:rsid w:val="00611C90"/>
    <w:rsid w:val="0061214C"/>
    <w:rsid w:val="00612359"/>
    <w:rsid w:val="006125C5"/>
    <w:rsid w:val="00613399"/>
    <w:rsid w:val="0061402E"/>
    <w:rsid w:val="006146A9"/>
    <w:rsid w:val="00614E3A"/>
    <w:rsid w:val="006151ED"/>
    <w:rsid w:val="0061671F"/>
    <w:rsid w:val="006171BB"/>
    <w:rsid w:val="0061720A"/>
    <w:rsid w:val="006172CD"/>
    <w:rsid w:val="006179A5"/>
    <w:rsid w:val="00617A43"/>
    <w:rsid w:val="00617E6E"/>
    <w:rsid w:val="006203D8"/>
    <w:rsid w:val="00621FD4"/>
    <w:rsid w:val="00622288"/>
    <w:rsid w:val="0062321C"/>
    <w:rsid w:val="00624549"/>
    <w:rsid w:val="006258B7"/>
    <w:rsid w:val="00625932"/>
    <w:rsid w:val="006259FF"/>
    <w:rsid w:val="00627B3D"/>
    <w:rsid w:val="00631429"/>
    <w:rsid w:val="0063293C"/>
    <w:rsid w:val="00635008"/>
    <w:rsid w:val="0063561F"/>
    <w:rsid w:val="0063653C"/>
    <w:rsid w:val="00636663"/>
    <w:rsid w:val="00636BB5"/>
    <w:rsid w:val="006372D6"/>
    <w:rsid w:val="0063747D"/>
    <w:rsid w:val="006374D8"/>
    <w:rsid w:val="00640ECF"/>
    <w:rsid w:val="00641652"/>
    <w:rsid w:val="00641F11"/>
    <w:rsid w:val="006427E6"/>
    <w:rsid w:val="006429E7"/>
    <w:rsid w:val="006432BD"/>
    <w:rsid w:val="006434F5"/>
    <w:rsid w:val="0064472A"/>
    <w:rsid w:val="0064567C"/>
    <w:rsid w:val="00645DF4"/>
    <w:rsid w:val="006463A0"/>
    <w:rsid w:val="00646E4C"/>
    <w:rsid w:val="006500E5"/>
    <w:rsid w:val="0065024D"/>
    <w:rsid w:val="00650CB8"/>
    <w:rsid w:val="006517D8"/>
    <w:rsid w:val="00651C2B"/>
    <w:rsid w:val="00652122"/>
    <w:rsid w:val="006522CE"/>
    <w:rsid w:val="006523D9"/>
    <w:rsid w:val="00652450"/>
    <w:rsid w:val="00652C38"/>
    <w:rsid w:val="00652E41"/>
    <w:rsid w:val="00653ABD"/>
    <w:rsid w:val="00653BC6"/>
    <w:rsid w:val="0065417B"/>
    <w:rsid w:val="00654597"/>
    <w:rsid w:val="00655039"/>
    <w:rsid w:val="0065518F"/>
    <w:rsid w:val="0065562A"/>
    <w:rsid w:val="00657AEC"/>
    <w:rsid w:val="00661251"/>
    <w:rsid w:val="00661FAE"/>
    <w:rsid w:val="00663519"/>
    <w:rsid w:val="00663759"/>
    <w:rsid w:val="00663BBC"/>
    <w:rsid w:val="00663F0E"/>
    <w:rsid w:val="0066418D"/>
    <w:rsid w:val="00664537"/>
    <w:rsid w:val="00666307"/>
    <w:rsid w:val="0066669E"/>
    <w:rsid w:val="006666A2"/>
    <w:rsid w:val="00667D37"/>
    <w:rsid w:val="00667F33"/>
    <w:rsid w:val="00670290"/>
    <w:rsid w:val="00670BB0"/>
    <w:rsid w:val="006718CB"/>
    <w:rsid w:val="0067297F"/>
    <w:rsid w:val="00672BD3"/>
    <w:rsid w:val="00674844"/>
    <w:rsid w:val="006751A0"/>
    <w:rsid w:val="006753F8"/>
    <w:rsid w:val="006766F7"/>
    <w:rsid w:val="00676978"/>
    <w:rsid w:val="00680BB7"/>
    <w:rsid w:val="00681034"/>
    <w:rsid w:val="006811C3"/>
    <w:rsid w:val="006818F1"/>
    <w:rsid w:val="00681D43"/>
    <w:rsid w:val="00682624"/>
    <w:rsid w:val="00682E4B"/>
    <w:rsid w:val="00683912"/>
    <w:rsid w:val="00684F76"/>
    <w:rsid w:val="006851C9"/>
    <w:rsid w:val="00685564"/>
    <w:rsid w:val="006863A0"/>
    <w:rsid w:val="00687292"/>
    <w:rsid w:val="00687623"/>
    <w:rsid w:val="00687DF4"/>
    <w:rsid w:val="00687E7F"/>
    <w:rsid w:val="0069155A"/>
    <w:rsid w:val="00691940"/>
    <w:rsid w:val="0069229F"/>
    <w:rsid w:val="0069293F"/>
    <w:rsid w:val="006929DA"/>
    <w:rsid w:val="00692A6C"/>
    <w:rsid w:val="00693752"/>
    <w:rsid w:val="00693DA0"/>
    <w:rsid w:val="00694281"/>
    <w:rsid w:val="006944F6"/>
    <w:rsid w:val="006948A7"/>
    <w:rsid w:val="006955C2"/>
    <w:rsid w:val="00696417"/>
    <w:rsid w:val="00696F9D"/>
    <w:rsid w:val="00697441"/>
    <w:rsid w:val="006975D2"/>
    <w:rsid w:val="006A0138"/>
    <w:rsid w:val="006A1061"/>
    <w:rsid w:val="006A1085"/>
    <w:rsid w:val="006A1204"/>
    <w:rsid w:val="006A1A8A"/>
    <w:rsid w:val="006A2F5C"/>
    <w:rsid w:val="006A2FA9"/>
    <w:rsid w:val="006A35C5"/>
    <w:rsid w:val="006A369D"/>
    <w:rsid w:val="006A4733"/>
    <w:rsid w:val="006A4B52"/>
    <w:rsid w:val="006A6BA7"/>
    <w:rsid w:val="006B02C9"/>
    <w:rsid w:val="006B1086"/>
    <w:rsid w:val="006B27BB"/>
    <w:rsid w:val="006B28FF"/>
    <w:rsid w:val="006B4396"/>
    <w:rsid w:val="006B43A8"/>
    <w:rsid w:val="006B4D0F"/>
    <w:rsid w:val="006B5D4B"/>
    <w:rsid w:val="006B6266"/>
    <w:rsid w:val="006B633C"/>
    <w:rsid w:val="006B63F8"/>
    <w:rsid w:val="006C0057"/>
    <w:rsid w:val="006C0A0E"/>
    <w:rsid w:val="006C14AA"/>
    <w:rsid w:val="006C14AC"/>
    <w:rsid w:val="006C4452"/>
    <w:rsid w:val="006C4811"/>
    <w:rsid w:val="006C569C"/>
    <w:rsid w:val="006C5ED7"/>
    <w:rsid w:val="006C6189"/>
    <w:rsid w:val="006C6237"/>
    <w:rsid w:val="006C62C8"/>
    <w:rsid w:val="006C6423"/>
    <w:rsid w:val="006C68AC"/>
    <w:rsid w:val="006C6BDA"/>
    <w:rsid w:val="006C6EFA"/>
    <w:rsid w:val="006C705C"/>
    <w:rsid w:val="006D1282"/>
    <w:rsid w:val="006D1765"/>
    <w:rsid w:val="006D18A0"/>
    <w:rsid w:val="006D31B2"/>
    <w:rsid w:val="006D3E27"/>
    <w:rsid w:val="006D4D31"/>
    <w:rsid w:val="006D5962"/>
    <w:rsid w:val="006D5A49"/>
    <w:rsid w:val="006D7A4A"/>
    <w:rsid w:val="006D7FB5"/>
    <w:rsid w:val="006E04B1"/>
    <w:rsid w:val="006E2496"/>
    <w:rsid w:val="006E28AB"/>
    <w:rsid w:val="006E32F2"/>
    <w:rsid w:val="006E362B"/>
    <w:rsid w:val="006E443B"/>
    <w:rsid w:val="006E4517"/>
    <w:rsid w:val="006E4AE5"/>
    <w:rsid w:val="006E4EE3"/>
    <w:rsid w:val="006E54EB"/>
    <w:rsid w:val="006E6E9A"/>
    <w:rsid w:val="006E757A"/>
    <w:rsid w:val="006E7960"/>
    <w:rsid w:val="006F0340"/>
    <w:rsid w:val="006F2227"/>
    <w:rsid w:val="006F3763"/>
    <w:rsid w:val="006F4E2B"/>
    <w:rsid w:val="006F50E6"/>
    <w:rsid w:val="006F5579"/>
    <w:rsid w:val="006F558F"/>
    <w:rsid w:val="006F5685"/>
    <w:rsid w:val="006F5B4B"/>
    <w:rsid w:val="006F5F7D"/>
    <w:rsid w:val="006F76FD"/>
    <w:rsid w:val="00700356"/>
    <w:rsid w:val="0070036A"/>
    <w:rsid w:val="0070101D"/>
    <w:rsid w:val="00701315"/>
    <w:rsid w:val="00701BB7"/>
    <w:rsid w:val="00702550"/>
    <w:rsid w:val="00702DAE"/>
    <w:rsid w:val="00703783"/>
    <w:rsid w:val="0070379B"/>
    <w:rsid w:val="00703AF7"/>
    <w:rsid w:val="007043D4"/>
    <w:rsid w:val="00704908"/>
    <w:rsid w:val="00704AAB"/>
    <w:rsid w:val="00706203"/>
    <w:rsid w:val="007076F2"/>
    <w:rsid w:val="007076F7"/>
    <w:rsid w:val="00707BB9"/>
    <w:rsid w:val="00711EB4"/>
    <w:rsid w:val="00712171"/>
    <w:rsid w:val="007122FA"/>
    <w:rsid w:val="0071272A"/>
    <w:rsid w:val="00712927"/>
    <w:rsid w:val="0071482B"/>
    <w:rsid w:val="00714ADB"/>
    <w:rsid w:val="00716420"/>
    <w:rsid w:val="00717465"/>
    <w:rsid w:val="00717C2B"/>
    <w:rsid w:val="007204B6"/>
    <w:rsid w:val="00720D5B"/>
    <w:rsid w:val="007217A5"/>
    <w:rsid w:val="00722800"/>
    <w:rsid w:val="00722B88"/>
    <w:rsid w:val="00722F76"/>
    <w:rsid w:val="007240D7"/>
    <w:rsid w:val="0072441D"/>
    <w:rsid w:val="007248EE"/>
    <w:rsid w:val="00724DD8"/>
    <w:rsid w:val="00726162"/>
    <w:rsid w:val="007272CD"/>
    <w:rsid w:val="0072748A"/>
    <w:rsid w:val="00727527"/>
    <w:rsid w:val="00727C51"/>
    <w:rsid w:val="00727E4F"/>
    <w:rsid w:val="007304CC"/>
    <w:rsid w:val="007309F2"/>
    <w:rsid w:val="00730A26"/>
    <w:rsid w:val="0073265A"/>
    <w:rsid w:val="00733A15"/>
    <w:rsid w:val="00734170"/>
    <w:rsid w:val="0073427B"/>
    <w:rsid w:val="0073532C"/>
    <w:rsid w:val="00736689"/>
    <w:rsid w:val="0073675F"/>
    <w:rsid w:val="00737680"/>
    <w:rsid w:val="007400B3"/>
    <w:rsid w:val="00740440"/>
    <w:rsid w:val="0074076F"/>
    <w:rsid w:val="00741070"/>
    <w:rsid w:val="00741910"/>
    <w:rsid w:val="0074214C"/>
    <w:rsid w:val="007424E5"/>
    <w:rsid w:val="007426C0"/>
    <w:rsid w:val="007442A9"/>
    <w:rsid w:val="0074449D"/>
    <w:rsid w:val="007452A4"/>
    <w:rsid w:val="00745868"/>
    <w:rsid w:val="0074634A"/>
    <w:rsid w:val="0074687D"/>
    <w:rsid w:val="00746935"/>
    <w:rsid w:val="00746FDD"/>
    <w:rsid w:val="007479A4"/>
    <w:rsid w:val="00747D6D"/>
    <w:rsid w:val="00753106"/>
    <w:rsid w:val="00753864"/>
    <w:rsid w:val="007549A3"/>
    <w:rsid w:val="00756567"/>
    <w:rsid w:val="00757383"/>
    <w:rsid w:val="00757F4F"/>
    <w:rsid w:val="007605B7"/>
    <w:rsid w:val="007615FF"/>
    <w:rsid w:val="00761EDA"/>
    <w:rsid w:val="00762CE7"/>
    <w:rsid w:val="00763099"/>
    <w:rsid w:val="0076380C"/>
    <w:rsid w:val="00763D45"/>
    <w:rsid w:val="00765578"/>
    <w:rsid w:val="00765638"/>
    <w:rsid w:val="00766E1C"/>
    <w:rsid w:val="0077082C"/>
    <w:rsid w:val="00771C5A"/>
    <w:rsid w:val="0077270D"/>
    <w:rsid w:val="00772741"/>
    <w:rsid w:val="007737A3"/>
    <w:rsid w:val="007748BA"/>
    <w:rsid w:val="007749F2"/>
    <w:rsid w:val="00775B64"/>
    <w:rsid w:val="00776455"/>
    <w:rsid w:val="00776755"/>
    <w:rsid w:val="00776C6D"/>
    <w:rsid w:val="007770A5"/>
    <w:rsid w:val="00777387"/>
    <w:rsid w:val="007775C4"/>
    <w:rsid w:val="007775DE"/>
    <w:rsid w:val="00781273"/>
    <w:rsid w:val="00781361"/>
    <w:rsid w:val="007815C9"/>
    <w:rsid w:val="00781D9C"/>
    <w:rsid w:val="00782439"/>
    <w:rsid w:val="007829D1"/>
    <w:rsid w:val="007831B7"/>
    <w:rsid w:val="00783400"/>
    <w:rsid w:val="00783412"/>
    <w:rsid w:val="00785A47"/>
    <w:rsid w:val="00785A7A"/>
    <w:rsid w:val="007864F0"/>
    <w:rsid w:val="007865D2"/>
    <w:rsid w:val="00787027"/>
    <w:rsid w:val="00790008"/>
    <w:rsid w:val="007909D7"/>
    <w:rsid w:val="00790DF3"/>
    <w:rsid w:val="007914B7"/>
    <w:rsid w:val="007916F0"/>
    <w:rsid w:val="00791DA9"/>
    <w:rsid w:val="007922A9"/>
    <w:rsid w:val="00792F04"/>
    <w:rsid w:val="00793788"/>
    <w:rsid w:val="00793B4C"/>
    <w:rsid w:val="007947DC"/>
    <w:rsid w:val="00795DEF"/>
    <w:rsid w:val="007972D5"/>
    <w:rsid w:val="00797F62"/>
    <w:rsid w:val="007A0082"/>
    <w:rsid w:val="007A086D"/>
    <w:rsid w:val="007A0CBA"/>
    <w:rsid w:val="007A0D63"/>
    <w:rsid w:val="007A16BD"/>
    <w:rsid w:val="007A32E9"/>
    <w:rsid w:val="007A352F"/>
    <w:rsid w:val="007A3BF0"/>
    <w:rsid w:val="007A4FD0"/>
    <w:rsid w:val="007A7034"/>
    <w:rsid w:val="007A7737"/>
    <w:rsid w:val="007B054B"/>
    <w:rsid w:val="007B05CC"/>
    <w:rsid w:val="007B06FB"/>
    <w:rsid w:val="007B1674"/>
    <w:rsid w:val="007B25F3"/>
    <w:rsid w:val="007B2CEA"/>
    <w:rsid w:val="007B2E46"/>
    <w:rsid w:val="007B330D"/>
    <w:rsid w:val="007B59C9"/>
    <w:rsid w:val="007B7628"/>
    <w:rsid w:val="007B7EA3"/>
    <w:rsid w:val="007C0456"/>
    <w:rsid w:val="007C0653"/>
    <w:rsid w:val="007C1516"/>
    <w:rsid w:val="007C1C3E"/>
    <w:rsid w:val="007C2126"/>
    <w:rsid w:val="007C33F9"/>
    <w:rsid w:val="007C3601"/>
    <w:rsid w:val="007C4B24"/>
    <w:rsid w:val="007C4E71"/>
    <w:rsid w:val="007C4FE3"/>
    <w:rsid w:val="007C51D8"/>
    <w:rsid w:val="007C5AE3"/>
    <w:rsid w:val="007C78EE"/>
    <w:rsid w:val="007C798C"/>
    <w:rsid w:val="007D13D0"/>
    <w:rsid w:val="007D1776"/>
    <w:rsid w:val="007D1E00"/>
    <w:rsid w:val="007D26BE"/>
    <w:rsid w:val="007D37D1"/>
    <w:rsid w:val="007D3FA1"/>
    <w:rsid w:val="007D52CA"/>
    <w:rsid w:val="007D60FA"/>
    <w:rsid w:val="007D711B"/>
    <w:rsid w:val="007D7523"/>
    <w:rsid w:val="007D7D9E"/>
    <w:rsid w:val="007E0C02"/>
    <w:rsid w:val="007E1176"/>
    <w:rsid w:val="007E1C1D"/>
    <w:rsid w:val="007E1F55"/>
    <w:rsid w:val="007E2104"/>
    <w:rsid w:val="007E2AF8"/>
    <w:rsid w:val="007E2EC6"/>
    <w:rsid w:val="007E39F7"/>
    <w:rsid w:val="007E4A6E"/>
    <w:rsid w:val="007E5C18"/>
    <w:rsid w:val="007E612E"/>
    <w:rsid w:val="007E68C1"/>
    <w:rsid w:val="007E697B"/>
    <w:rsid w:val="007E7C14"/>
    <w:rsid w:val="007E7E99"/>
    <w:rsid w:val="007F0380"/>
    <w:rsid w:val="007F130D"/>
    <w:rsid w:val="007F19D0"/>
    <w:rsid w:val="007F1AD2"/>
    <w:rsid w:val="007F1F05"/>
    <w:rsid w:val="007F2152"/>
    <w:rsid w:val="007F22FF"/>
    <w:rsid w:val="007F23AD"/>
    <w:rsid w:val="007F24D0"/>
    <w:rsid w:val="007F2681"/>
    <w:rsid w:val="007F2E24"/>
    <w:rsid w:val="007F2FF7"/>
    <w:rsid w:val="007F3272"/>
    <w:rsid w:val="007F3518"/>
    <w:rsid w:val="007F3D0E"/>
    <w:rsid w:val="007F3DC9"/>
    <w:rsid w:val="007F45D1"/>
    <w:rsid w:val="007F5015"/>
    <w:rsid w:val="007F6708"/>
    <w:rsid w:val="007F6A35"/>
    <w:rsid w:val="007F73C6"/>
    <w:rsid w:val="00800368"/>
    <w:rsid w:val="00802C54"/>
    <w:rsid w:val="008030A4"/>
    <w:rsid w:val="008030B4"/>
    <w:rsid w:val="00803242"/>
    <w:rsid w:val="0080393E"/>
    <w:rsid w:val="008042B0"/>
    <w:rsid w:val="008054E0"/>
    <w:rsid w:val="008067CD"/>
    <w:rsid w:val="0080788F"/>
    <w:rsid w:val="00810902"/>
    <w:rsid w:val="00812410"/>
    <w:rsid w:val="00812C71"/>
    <w:rsid w:val="0081391F"/>
    <w:rsid w:val="00813A76"/>
    <w:rsid w:val="0081469B"/>
    <w:rsid w:val="008146C6"/>
    <w:rsid w:val="00814B77"/>
    <w:rsid w:val="00815A60"/>
    <w:rsid w:val="008163A3"/>
    <w:rsid w:val="00816675"/>
    <w:rsid w:val="008169ED"/>
    <w:rsid w:val="00820552"/>
    <w:rsid w:val="00820C06"/>
    <w:rsid w:val="00821377"/>
    <w:rsid w:val="0082165A"/>
    <w:rsid w:val="008222CC"/>
    <w:rsid w:val="00823031"/>
    <w:rsid w:val="008240F3"/>
    <w:rsid w:val="00824543"/>
    <w:rsid w:val="008245BB"/>
    <w:rsid w:val="00824F27"/>
    <w:rsid w:val="0082570F"/>
    <w:rsid w:val="00825A7F"/>
    <w:rsid w:val="00831426"/>
    <w:rsid w:val="008318BE"/>
    <w:rsid w:val="00831B5F"/>
    <w:rsid w:val="00831C16"/>
    <w:rsid w:val="00831DF7"/>
    <w:rsid w:val="0083224F"/>
    <w:rsid w:val="0083275B"/>
    <w:rsid w:val="00832D93"/>
    <w:rsid w:val="0083352B"/>
    <w:rsid w:val="00833A41"/>
    <w:rsid w:val="00834247"/>
    <w:rsid w:val="00835637"/>
    <w:rsid w:val="008366B4"/>
    <w:rsid w:val="008368AD"/>
    <w:rsid w:val="008369A6"/>
    <w:rsid w:val="008369B8"/>
    <w:rsid w:val="00836C91"/>
    <w:rsid w:val="00837082"/>
    <w:rsid w:val="00840A51"/>
    <w:rsid w:val="0084102C"/>
    <w:rsid w:val="008430BD"/>
    <w:rsid w:val="00843637"/>
    <w:rsid w:val="008441D1"/>
    <w:rsid w:val="0084467B"/>
    <w:rsid w:val="008452B2"/>
    <w:rsid w:val="00845CC8"/>
    <w:rsid w:val="00845E4D"/>
    <w:rsid w:val="00845E4F"/>
    <w:rsid w:val="00845E7A"/>
    <w:rsid w:val="00846727"/>
    <w:rsid w:val="008474D3"/>
    <w:rsid w:val="00850356"/>
    <w:rsid w:val="00850C1F"/>
    <w:rsid w:val="0085138B"/>
    <w:rsid w:val="00851FFF"/>
    <w:rsid w:val="00852DF0"/>
    <w:rsid w:val="008561BC"/>
    <w:rsid w:val="00857185"/>
    <w:rsid w:val="008572A6"/>
    <w:rsid w:val="00861AAB"/>
    <w:rsid w:val="0086221D"/>
    <w:rsid w:val="00862975"/>
    <w:rsid w:val="00863B1A"/>
    <w:rsid w:val="0086428D"/>
    <w:rsid w:val="00864FE5"/>
    <w:rsid w:val="0086501B"/>
    <w:rsid w:val="008655DE"/>
    <w:rsid w:val="00866C68"/>
    <w:rsid w:val="008670C1"/>
    <w:rsid w:val="00867652"/>
    <w:rsid w:val="00867BD8"/>
    <w:rsid w:val="00872106"/>
    <w:rsid w:val="00872A41"/>
    <w:rsid w:val="008747D6"/>
    <w:rsid w:val="0087581C"/>
    <w:rsid w:val="008767F5"/>
    <w:rsid w:val="00877AEB"/>
    <w:rsid w:val="00877E24"/>
    <w:rsid w:val="008800AF"/>
    <w:rsid w:val="0088028E"/>
    <w:rsid w:val="008814E1"/>
    <w:rsid w:val="0088151C"/>
    <w:rsid w:val="0088279B"/>
    <w:rsid w:val="00882DB2"/>
    <w:rsid w:val="0088311A"/>
    <w:rsid w:val="008832BB"/>
    <w:rsid w:val="00883625"/>
    <w:rsid w:val="008848DD"/>
    <w:rsid w:val="008849CE"/>
    <w:rsid w:val="00887564"/>
    <w:rsid w:val="008879D7"/>
    <w:rsid w:val="00887BB0"/>
    <w:rsid w:val="008901A6"/>
    <w:rsid w:val="00891F24"/>
    <w:rsid w:val="008935BD"/>
    <w:rsid w:val="00893EC3"/>
    <w:rsid w:val="00893EC9"/>
    <w:rsid w:val="00894563"/>
    <w:rsid w:val="0089546F"/>
    <w:rsid w:val="0089559E"/>
    <w:rsid w:val="00895CF4"/>
    <w:rsid w:val="00896067"/>
    <w:rsid w:val="00896BD5"/>
    <w:rsid w:val="008973A3"/>
    <w:rsid w:val="00897468"/>
    <w:rsid w:val="00897515"/>
    <w:rsid w:val="00897E00"/>
    <w:rsid w:val="008A0220"/>
    <w:rsid w:val="008A073C"/>
    <w:rsid w:val="008A0949"/>
    <w:rsid w:val="008A1572"/>
    <w:rsid w:val="008A15D3"/>
    <w:rsid w:val="008A1835"/>
    <w:rsid w:val="008A198F"/>
    <w:rsid w:val="008A291F"/>
    <w:rsid w:val="008A3E0B"/>
    <w:rsid w:val="008A43CF"/>
    <w:rsid w:val="008A489F"/>
    <w:rsid w:val="008A4DB3"/>
    <w:rsid w:val="008A663E"/>
    <w:rsid w:val="008A6FEC"/>
    <w:rsid w:val="008A789A"/>
    <w:rsid w:val="008A7F44"/>
    <w:rsid w:val="008B0D49"/>
    <w:rsid w:val="008B3813"/>
    <w:rsid w:val="008B4AD5"/>
    <w:rsid w:val="008B5097"/>
    <w:rsid w:val="008B6466"/>
    <w:rsid w:val="008B6916"/>
    <w:rsid w:val="008B6CC4"/>
    <w:rsid w:val="008B7325"/>
    <w:rsid w:val="008C0133"/>
    <w:rsid w:val="008C3483"/>
    <w:rsid w:val="008C371C"/>
    <w:rsid w:val="008C415C"/>
    <w:rsid w:val="008C5157"/>
    <w:rsid w:val="008C5250"/>
    <w:rsid w:val="008C61BB"/>
    <w:rsid w:val="008C7101"/>
    <w:rsid w:val="008C7113"/>
    <w:rsid w:val="008C7313"/>
    <w:rsid w:val="008C7777"/>
    <w:rsid w:val="008D10AE"/>
    <w:rsid w:val="008D245E"/>
    <w:rsid w:val="008D2CCE"/>
    <w:rsid w:val="008D3D3A"/>
    <w:rsid w:val="008D475F"/>
    <w:rsid w:val="008D529B"/>
    <w:rsid w:val="008D62C8"/>
    <w:rsid w:val="008D6ADE"/>
    <w:rsid w:val="008E0497"/>
    <w:rsid w:val="008E1242"/>
    <w:rsid w:val="008E23E7"/>
    <w:rsid w:val="008E2587"/>
    <w:rsid w:val="008E277D"/>
    <w:rsid w:val="008E2AA9"/>
    <w:rsid w:val="008E2DD0"/>
    <w:rsid w:val="008E308C"/>
    <w:rsid w:val="008E3101"/>
    <w:rsid w:val="008E3C6D"/>
    <w:rsid w:val="008E3C98"/>
    <w:rsid w:val="008E3CDD"/>
    <w:rsid w:val="008E4756"/>
    <w:rsid w:val="008E52D3"/>
    <w:rsid w:val="008E5313"/>
    <w:rsid w:val="008E5328"/>
    <w:rsid w:val="008E5AD0"/>
    <w:rsid w:val="008E5CEF"/>
    <w:rsid w:val="008E6F08"/>
    <w:rsid w:val="008E743A"/>
    <w:rsid w:val="008E7BEA"/>
    <w:rsid w:val="008E7F59"/>
    <w:rsid w:val="008F0439"/>
    <w:rsid w:val="008F13AA"/>
    <w:rsid w:val="008F1933"/>
    <w:rsid w:val="008F2F87"/>
    <w:rsid w:val="008F3897"/>
    <w:rsid w:val="008F3EA9"/>
    <w:rsid w:val="008F419B"/>
    <w:rsid w:val="008F4CCA"/>
    <w:rsid w:val="008F562D"/>
    <w:rsid w:val="008F69FC"/>
    <w:rsid w:val="008F6E20"/>
    <w:rsid w:val="008F7123"/>
    <w:rsid w:val="00900469"/>
    <w:rsid w:val="0090055D"/>
    <w:rsid w:val="00900702"/>
    <w:rsid w:val="0090098C"/>
    <w:rsid w:val="00900B3B"/>
    <w:rsid w:val="00901B3D"/>
    <w:rsid w:val="00902C73"/>
    <w:rsid w:val="009034FA"/>
    <w:rsid w:val="0090381C"/>
    <w:rsid w:val="00903E2D"/>
    <w:rsid w:val="00903EAC"/>
    <w:rsid w:val="00905565"/>
    <w:rsid w:val="00905923"/>
    <w:rsid w:val="00905948"/>
    <w:rsid w:val="00905E6C"/>
    <w:rsid w:val="00906336"/>
    <w:rsid w:val="00906638"/>
    <w:rsid w:val="00906AB7"/>
    <w:rsid w:val="00906B4E"/>
    <w:rsid w:val="00907AB0"/>
    <w:rsid w:val="00907BAE"/>
    <w:rsid w:val="00910AAC"/>
    <w:rsid w:val="00910B06"/>
    <w:rsid w:val="00911D1A"/>
    <w:rsid w:val="00912DFE"/>
    <w:rsid w:val="00913EC8"/>
    <w:rsid w:val="00914CB0"/>
    <w:rsid w:val="009150B7"/>
    <w:rsid w:val="009157D6"/>
    <w:rsid w:val="00915E0D"/>
    <w:rsid w:val="00916413"/>
    <w:rsid w:val="009171F0"/>
    <w:rsid w:val="009204CC"/>
    <w:rsid w:val="00921352"/>
    <w:rsid w:val="00921B8A"/>
    <w:rsid w:val="00922EC3"/>
    <w:rsid w:val="00923FC1"/>
    <w:rsid w:val="00924138"/>
    <w:rsid w:val="0092550F"/>
    <w:rsid w:val="0092593A"/>
    <w:rsid w:val="00925D76"/>
    <w:rsid w:val="00926021"/>
    <w:rsid w:val="00926138"/>
    <w:rsid w:val="00926AF4"/>
    <w:rsid w:val="00927F56"/>
    <w:rsid w:val="00930B5F"/>
    <w:rsid w:val="00931F1E"/>
    <w:rsid w:val="00932B23"/>
    <w:rsid w:val="00932CF9"/>
    <w:rsid w:val="00933E1F"/>
    <w:rsid w:val="00934833"/>
    <w:rsid w:val="009353E5"/>
    <w:rsid w:val="00935497"/>
    <w:rsid w:val="0093579A"/>
    <w:rsid w:val="00935E9C"/>
    <w:rsid w:val="00936D60"/>
    <w:rsid w:val="009373DF"/>
    <w:rsid w:val="00937589"/>
    <w:rsid w:val="00940015"/>
    <w:rsid w:val="00940638"/>
    <w:rsid w:val="009418A1"/>
    <w:rsid w:val="00941A87"/>
    <w:rsid w:val="00942B26"/>
    <w:rsid w:val="00943A65"/>
    <w:rsid w:val="00944565"/>
    <w:rsid w:val="00944B37"/>
    <w:rsid w:val="00944BA7"/>
    <w:rsid w:val="009458BE"/>
    <w:rsid w:val="0094610A"/>
    <w:rsid w:val="00946F00"/>
    <w:rsid w:val="009473B5"/>
    <w:rsid w:val="00947D91"/>
    <w:rsid w:val="00950291"/>
    <w:rsid w:val="00950824"/>
    <w:rsid w:val="009516FE"/>
    <w:rsid w:val="00952BEC"/>
    <w:rsid w:val="00953E30"/>
    <w:rsid w:val="00954C0C"/>
    <w:rsid w:val="0095571C"/>
    <w:rsid w:val="009558BE"/>
    <w:rsid w:val="00955FE3"/>
    <w:rsid w:val="00956CCE"/>
    <w:rsid w:val="009578BE"/>
    <w:rsid w:val="0095799B"/>
    <w:rsid w:val="009611C6"/>
    <w:rsid w:val="00961FA5"/>
    <w:rsid w:val="00963974"/>
    <w:rsid w:val="00963F14"/>
    <w:rsid w:val="009641BC"/>
    <w:rsid w:val="0096453D"/>
    <w:rsid w:val="00965176"/>
    <w:rsid w:val="00967198"/>
    <w:rsid w:val="00967524"/>
    <w:rsid w:val="009713F2"/>
    <w:rsid w:val="00971E7F"/>
    <w:rsid w:val="00971FBC"/>
    <w:rsid w:val="009723B4"/>
    <w:rsid w:val="00972C2A"/>
    <w:rsid w:val="00972E8D"/>
    <w:rsid w:val="009738F0"/>
    <w:rsid w:val="00973FE6"/>
    <w:rsid w:val="009740AE"/>
    <w:rsid w:val="0097416F"/>
    <w:rsid w:val="00974253"/>
    <w:rsid w:val="009743B1"/>
    <w:rsid w:val="00974D62"/>
    <w:rsid w:val="00976A8C"/>
    <w:rsid w:val="00976E8F"/>
    <w:rsid w:val="009771D0"/>
    <w:rsid w:val="0097721D"/>
    <w:rsid w:val="00977A42"/>
    <w:rsid w:val="0098041A"/>
    <w:rsid w:val="0098080E"/>
    <w:rsid w:val="0098199C"/>
    <w:rsid w:val="00982E18"/>
    <w:rsid w:val="0098307E"/>
    <w:rsid w:val="0098547E"/>
    <w:rsid w:val="009857C5"/>
    <w:rsid w:val="00985AC1"/>
    <w:rsid w:val="00985B10"/>
    <w:rsid w:val="00985BCD"/>
    <w:rsid w:val="00986A27"/>
    <w:rsid w:val="00986E6D"/>
    <w:rsid w:val="0098792E"/>
    <w:rsid w:val="00991962"/>
    <w:rsid w:val="00992E3A"/>
    <w:rsid w:val="00993A24"/>
    <w:rsid w:val="00993BB5"/>
    <w:rsid w:val="00994846"/>
    <w:rsid w:val="0099546A"/>
    <w:rsid w:val="009956FD"/>
    <w:rsid w:val="009964AB"/>
    <w:rsid w:val="009964D8"/>
    <w:rsid w:val="009A048F"/>
    <w:rsid w:val="009A0793"/>
    <w:rsid w:val="009A0ADC"/>
    <w:rsid w:val="009A153A"/>
    <w:rsid w:val="009A3CB5"/>
    <w:rsid w:val="009A3DDA"/>
    <w:rsid w:val="009A4942"/>
    <w:rsid w:val="009A55E7"/>
    <w:rsid w:val="009A5997"/>
    <w:rsid w:val="009A76C5"/>
    <w:rsid w:val="009A7750"/>
    <w:rsid w:val="009B0916"/>
    <w:rsid w:val="009B0DE7"/>
    <w:rsid w:val="009B102F"/>
    <w:rsid w:val="009B3354"/>
    <w:rsid w:val="009B3890"/>
    <w:rsid w:val="009B4059"/>
    <w:rsid w:val="009B413C"/>
    <w:rsid w:val="009B4636"/>
    <w:rsid w:val="009B5432"/>
    <w:rsid w:val="009B58AF"/>
    <w:rsid w:val="009B6D3D"/>
    <w:rsid w:val="009B70F9"/>
    <w:rsid w:val="009C017B"/>
    <w:rsid w:val="009C055A"/>
    <w:rsid w:val="009C0DAA"/>
    <w:rsid w:val="009C2606"/>
    <w:rsid w:val="009C2E17"/>
    <w:rsid w:val="009C367C"/>
    <w:rsid w:val="009C42BF"/>
    <w:rsid w:val="009C4797"/>
    <w:rsid w:val="009C51CA"/>
    <w:rsid w:val="009C5944"/>
    <w:rsid w:val="009C6CC9"/>
    <w:rsid w:val="009C6E35"/>
    <w:rsid w:val="009D0A3E"/>
    <w:rsid w:val="009D1C23"/>
    <w:rsid w:val="009D221B"/>
    <w:rsid w:val="009D23C5"/>
    <w:rsid w:val="009D2AC6"/>
    <w:rsid w:val="009D3134"/>
    <w:rsid w:val="009D3CA1"/>
    <w:rsid w:val="009D420C"/>
    <w:rsid w:val="009D4997"/>
    <w:rsid w:val="009D532B"/>
    <w:rsid w:val="009D601A"/>
    <w:rsid w:val="009D6134"/>
    <w:rsid w:val="009D7041"/>
    <w:rsid w:val="009E14BC"/>
    <w:rsid w:val="009E19DD"/>
    <w:rsid w:val="009E3A31"/>
    <w:rsid w:val="009E3BAE"/>
    <w:rsid w:val="009E59A0"/>
    <w:rsid w:val="009E5DA5"/>
    <w:rsid w:val="009E6691"/>
    <w:rsid w:val="009E6DCF"/>
    <w:rsid w:val="009E6FE2"/>
    <w:rsid w:val="009E70ED"/>
    <w:rsid w:val="009E7351"/>
    <w:rsid w:val="009E7BBD"/>
    <w:rsid w:val="009F0379"/>
    <w:rsid w:val="009F0ECA"/>
    <w:rsid w:val="009F1670"/>
    <w:rsid w:val="009F1F06"/>
    <w:rsid w:val="009F2725"/>
    <w:rsid w:val="009F27D8"/>
    <w:rsid w:val="009F44CC"/>
    <w:rsid w:val="009F4512"/>
    <w:rsid w:val="009F4C9F"/>
    <w:rsid w:val="009F56EF"/>
    <w:rsid w:val="009F58A1"/>
    <w:rsid w:val="009F62E5"/>
    <w:rsid w:val="009F65D2"/>
    <w:rsid w:val="009F6602"/>
    <w:rsid w:val="009F732C"/>
    <w:rsid w:val="009F771E"/>
    <w:rsid w:val="00A00A74"/>
    <w:rsid w:val="00A00F5E"/>
    <w:rsid w:val="00A020A1"/>
    <w:rsid w:val="00A03693"/>
    <w:rsid w:val="00A0404C"/>
    <w:rsid w:val="00A047E3"/>
    <w:rsid w:val="00A04D1E"/>
    <w:rsid w:val="00A056D7"/>
    <w:rsid w:val="00A05BC0"/>
    <w:rsid w:val="00A073BB"/>
    <w:rsid w:val="00A07A54"/>
    <w:rsid w:val="00A107FE"/>
    <w:rsid w:val="00A10A9A"/>
    <w:rsid w:val="00A11CBC"/>
    <w:rsid w:val="00A11F66"/>
    <w:rsid w:val="00A12433"/>
    <w:rsid w:val="00A12B7E"/>
    <w:rsid w:val="00A13604"/>
    <w:rsid w:val="00A13CCB"/>
    <w:rsid w:val="00A14BE2"/>
    <w:rsid w:val="00A154F7"/>
    <w:rsid w:val="00A15BD4"/>
    <w:rsid w:val="00A17092"/>
    <w:rsid w:val="00A1764D"/>
    <w:rsid w:val="00A178FD"/>
    <w:rsid w:val="00A17CAE"/>
    <w:rsid w:val="00A22359"/>
    <w:rsid w:val="00A2266B"/>
    <w:rsid w:val="00A2524A"/>
    <w:rsid w:val="00A2530C"/>
    <w:rsid w:val="00A25D64"/>
    <w:rsid w:val="00A25D6F"/>
    <w:rsid w:val="00A25FB3"/>
    <w:rsid w:val="00A26306"/>
    <w:rsid w:val="00A267EC"/>
    <w:rsid w:val="00A26943"/>
    <w:rsid w:val="00A2727B"/>
    <w:rsid w:val="00A305D6"/>
    <w:rsid w:val="00A316CD"/>
    <w:rsid w:val="00A318C1"/>
    <w:rsid w:val="00A31DA9"/>
    <w:rsid w:val="00A3226D"/>
    <w:rsid w:val="00A32356"/>
    <w:rsid w:val="00A323F1"/>
    <w:rsid w:val="00A327B7"/>
    <w:rsid w:val="00A3299B"/>
    <w:rsid w:val="00A32B4B"/>
    <w:rsid w:val="00A32E09"/>
    <w:rsid w:val="00A333D3"/>
    <w:rsid w:val="00A3397E"/>
    <w:rsid w:val="00A3400F"/>
    <w:rsid w:val="00A34BD9"/>
    <w:rsid w:val="00A35308"/>
    <w:rsid w:val="00A35583"/>
    <w:rsid w:val="00A35F20"/>
    <w:rsid w:val="00A37F85"/>
    <w:rsid w:val="00A4140C"/>
    <w:rsid w:val="00A4170E"/>
    <w:rsid w:val="00A427A0"/>
    <w:rsid w:val="00A42B86"/>
    <w:rsid w:val="00A42D85"/>
    <w:rsid w:val="00A44B18"/>
    <w:rsid w:val="00A45D54"/>
    <w:rsid w:val="00A46A4B"/>
    <w:rsid w:val="00A46EF9"/>
    <w:rsid w:val="00A47750"/>
    <w:rsid w:val="00A51F2E"/>
    <w:rsid w:val="00A52E84"/>
    <w:rsid w:val="00A548C1"/>
    <w:rsid w:val="00A55DBB"/>
    <w:rsid w:val="00A55F2E"/>
    <w:rsid w:val="00A569B5"/>
    <w:rsid w:val="00A57D53"/>
    <w:rsid w:val="00A60165"/>
    <w:rsid w:val="00A6034C"/>
    <w:rsid w:val="00A6052F"/>
    <w:rsid w:val="00A606A0"/>
    <w:rsid w:val="00A60C24"/>
    <w:rsid w:val="00A61057"/>
    <w:rsid w:val="00A611BF"/>
    <w:rsid w:val="00A6150A"/>
    <w:rsid w:val="00A621F0"/>
    <w:rsid w:val="00A625AA"/>
    <w:rsid w:val="00A633B4"/>
    <w:rsid w:val="00A6373C"/>
    <w:rsid w:val="00A646AF"/>
    <w:rsid w:val="00A64B95"/>
    <w:rsid w:val="00A651B0"/>
    <w:rsid w:val="00A659B6"/>
    <w:rsid w:val="00A65E00"/>
    <w:rsid w:val="00A66069"/>
    <w:rsid w:val="00A66D40"/>
    <w:rsid w:val="00A66FDE"/>
    <w:rsid w:val="00A67048"/>
    <w:rsid w:val="00A677E9"/>
    <w:rsid w:val="00A67DC8"/>
    <w:rsid w:val="00A706F6"/>
    <w:rsid w:val="00A7073B"/>
    <w:rsid w:val="00A71948"/>
    <w:rsid w:val="00A72293"/>
    <w:rsid w:val="00A7237F"/>
    <w:rsid w:val="00A72757"/>
    <w:rsid w:val="00A74290"/>
    <w:rsid w:val="00A74959"/>
    <w:rsid w:val="00A7502E"/>
    <w:rsid w:val="00A7746A"/>
    <w:rsid w:val="00A778C3"/>
    <w:rsid w:val="00A77976"/>
    <w:rsid w:val="00A809EB"/>
    <w:rsid w:val="00A81B0D"/>
    <w:rsid w:val="00A82209"/>
    <w:rsid w:val="00A82693"/>
    <w:rsid w:val="00A82F6A"/>
    <w:rsid w:val="00A83607"/>
    <w:rsid w:val="00A84177"/>
    <w:rsid w:val="00A84CD4"/>
    <w:rsid w:val="00A86A6A"/>
    <w:rsid w:val="00A87992"/>
    <w:rsid w:val="00A90456"/>
    <w:rsid w:val="00A906E4"/>
    <w:rsid w:val="00A908A9"/>
    <w:rsid w:val="00A9285E"/>
    <w:rsid w:val="00A92DE7"/>
    <w:rsid w:val="00A93D48"/>
    <w:rsid w:val="00A93E97"/>
    <w:rsid w:val="00A94080"/>
    <w:rsid w:val="00A94A6E"/>
    <w:rsid w:val="00A97F7A"/>
    <w:rsid w:val="00A97FCD"/>
    <w:rsid w:val="00AA0263"/>
    <w:rsid w:val="00AA06BE"/>
    <w:rsid w:val="00AA0A29"/>
    <w:rsid w:val="00AA0C62"/>
    <w:rsid w:val="00AA23C5"/>
    <w:rsid w:val="00AA29B8"/>
    <w:rsid w:val="00AA2E7B"/>
    <w:rsid w:val="00AA498A"/>
    <w:rsid w:val="00AA5397"/>
    <w:rsid w:val="00AA55BC"/>
    <w:rsid w:val="00AA65BC"/>
    <w:rsid w:val="00AA688C"/>
    <w:rsid w:val="00AA7C62"/>
    <w:rsid w:val="00AB0064"/>
    <w:rsid w:val="00AB049B"/>
    <w:rsid w:val="00AB0AA4"/>
    <w:rsid w:val="00AB0CA6"/>
    <w:rsid w:val="00AB0E77"/>
    <w:rsid w:val="00AB0F76"/>
    <w:rsid w:val="00AB15EC"/>
    <w:rsid w:val="00AB1B90"/>
    <w:rsid w:val="00AB1D77"/>
    <w:rsid w:val="00AB42BB"/>
    <w:rsid w:val="00AB49C3"/>
    <w:rsid w:val="00AB52AC"/>
    <w:rsid w:val="00AB5626"/>
    <w:rsid w:val="00AB684D"/>
    <w:rsid w:val="00AB6AF4"/>
    <w:rsid w:val="00AB7040"/>
    <w:rsid w:val="00AB756D"/>
    <w:rsid w:val="00AB7D8F"/>
    <w:rsid w:val="00AC0075"/>
    <w:rsid w:val="00AC04A4"/>
    <w:rsid w:val="00AC065E"/>
    <w:rsid w:val="00AC0EEC"/>
    <w:rsid w:val="00AC16C9"/>
    <w:rsid w:val="00AC16FF"/>
    <w:rsid w:val="00AC184B"/>
    <w:rsid w:val="00AC2567"/>
    <w:rsid w:val="00AC2933"/>
    <w:rsid w:val="00AC2B64"/>
    <w:rsid w:val="00AC48A8"/>
    <w:rsid w:val="00AC7073"/>
    <w:rsid w:val="00AC745E"/>
    <w:rsid w:val="00AC7FD3"/>
    <w:rsid w:val="00AD0545"/>
    <w:rsid w:val="00AD072F"/>
    <w:rsid w:val="00AD074B"/>
    <w:rsid w:val="00AD081B"/>
    <w:rsid w:val="00AD0953"/>
    <w:rsid w:val="00AD0DE3"/>
    <w:rsid w:val="00AD1D71"/>
    <w:rsid w:val="00AD2672"/>
    <w:rsid w:val="00AD30D4"/>
    <w:rsid w:val="00AD3D64"/>
    <w:rsid w:val="00AD41FA"/>
    <w:rsid w:val="00AD42A7"/>
    <w:rsid w:val="00AD4FFC"/>
    <w:rsid w:val="00AD51DA"/>
    <w:rsid w:val="00AD57B4"/>
    <w:rsid w:val="00AD5E55"/>
    <w:rsid w:val="00AD74DE"/>
    <w:rsid w:val="00AD78D3"/>
    <w:rsid w:val="00AD7FF0"/>
    <w:rsid w:val="00AE03D7"/>
    <w:rsid w:val="00AE068A"/>
    <w:rsid w:val="00AE15A1"/>
    <w:rsid w:val="00AE16E6"/>
    <w:rsid w:val="00AE1889"/>
    <w:rsid w:val="00AE282D"/>
    <w:rsid w:val="00AE4241"/>
    <w:rsid w:val="00AE4472"/>
    <w:rsid w:val="00AE4955"/>
    <w:rsid w:val="00AE4A0E"/>
    <w:rsid w:val="00AE53B2"/>
    <w:rsid w:val="00AE5F21"/>
    <w:rsid w:val="00AE60DB"/>
    <w:rsid w:val="00AE6D9C"/>
    <w:rsid w:val="00AE712B"/>
    <w:rsid w:val="00AE72D1"/>
    <w:rsid w:val="00AE783E"/>
    <w:rsid w:val="00AE7A8A"/>
    <w:rsid w:val="00AE7FAA"/>
    <w:rsid w:val="00AF087F"/>
    <w:rsid w:val="00AF35C9"/>
    <w:rsid w:val="00AF460A"/>
    <w:rsid w:val="00AF4C72"/>
    <w:rsid w:val="00AF5132"/>
    <w:rsid w:val="00AF5611"/>
    <w:rsid w:val="00AF5BBE"/>
    <w:rsid w:val="00AF75CA"/>
    <w:rsid w:val="00AF78B7"/>
    <w:rsid w:val="00AF78D5"/>
    <w:rsid w:val="00B00E99"/>
    <w:rsid w:val="00B0223F"/>
    <w:rsid w:val="00B03328"/>
    <w:rsid w:val="00B03885"/>
    <w:rsid w:val="00B03CF5"/>
    <w:rsid w:val="00B05847"/>
    <w:rsid w:val="00B06DBF"/>
    <w:rsid w:val="00B071B0"/>
    <w:rsid w:val="00B07FE4"/>
    <w:rsid w:val="00B10F4F"/>
    <w:rsid w:val="00B11FAA"/>
    <w:rsid w:val="00B12132"/>
    <w:rsid w:val="00B12635"/>
    <w:rsid w:val="00B12B2A"/>
    <w:rsid w:val="00B1305A"/>
    <w:rsid w:val="00B1326C"/>
    <w:rsid w:val="00B13990"/>
    <w:rsid w:val="00B13AA8"/>
    <w:rsid w:val="00B151DF"/>
    <w:rsid w:val="00B15761"/>
    <w:rsid w:val="00B15F1E"/>
    <w:rsid w:val="00B15FF3"/>
    <w:rsid w:val="00B17845"/>
    <w:rsid w:val="00B17C7B"/>
    <w:rsid w:val="00B20335"/>
    <w:rsid w:val="00B21A4A"/>
    <w:rsid w:val="00B21C02"/>
    <w:rsid w:val="00B21CE6"/>
    <w:rsid w:val="00B226C0"/>
    <w:rsid w:val="00B23226"/>
    <w:rsid w:val="00B234CD"/>
    <w:rsid w:val="00B23F60"/>
    <w:rsid w:val="00B23FE2"/>
    <w:rsid w:val="00B24449"/>
    <w:rsid w:val="00B24764"/>
    <w:rsid w:val="00B259C7"/>
    <w:rsid w:val="00B3115C"/>
    <w:rsid w:val="00B31391"/>
    <w:rsid w:val="00B31B92"/>
    <w:rsid w:val="00B32D70"/>
    <w:rsid w:val="00B33648"/>
    <w:rsid w:val="00B343CC"/>
    <w:rsid w:val="00B34A88"/>
    <w:rsid w:val="00B363AB"/>
    <w:rsid w:val="00B36C40"/>
    <w:rsid w:val="00B405B3"/>
    <w:rsid w:val="00B40C73"/>
    <w:rsid w:val="00B4137A"/>
    <w:rsid w:val="00B41F2C"/>
    <w:rsid w:val="00B433F2"/>
    <w:rsid w:val="00B43702"/>
    <w:rsid w:val="00B43A77"/>
    <w:rsid w:val="00B44204"/>
    <w:rsid w:val="00B445EC"/>
    <w:rsid w:val="00B44FB5"/>
    <w:rsid w:val="00B4543A"/>
    <w:rsid w:val="00B454CF"/>
    <w:rsid w:val="00B46406"/>
    <w:rsid w:val="00B46865"/>
    <w:rsid w:val="00B47A4B"/>
    <w:rsid w:val="00B501C2"/>
    <w:rsid w:val="00B50376"/>
    <w:rsid w:val="00B50A3B"/>
    <w:rsid w:val="00B50E5A"/>
    <w:rsid w:val="00B5120C"/>
    <w:rsid w:val="00B52B5F"/>
    <w:rsid w:val="00B5345D"/>
    <w:rsid w:val="00B54A96"/>
    <w:rsid w:val="00B54E80"/>
    <w:rsid w:val="00B55123"/>
    <w:rsid w:val="00B55423"/>
    <w:rsid w:val="00B55968"/>
    <w:rsid w:val="00B56647"/>
    <w:rsid w:val="00B5718F"/>
    <w:rsid w:val="00B57512"/>
    <w:rsid w:val="00B57A4F"/>
    <w:rsid w:val="00B57BF5"/>
    <w:rsid w:val="00B57E39"/>
    <w:rsid w:val="00B622F9"/>
    <w:rsid w:val="00B63384"/>
    <w:rsid w:val="00B66279"/>
    <w:rsid w:val="00B66B4A"/>
    <w:rsid w:val="00B674C3"/>
    <w:rsid w:val="00B67C38"/>
    <w:rsid w:val="00B704BC"/>
    <w:rsid w:val="00B70858"/>
    <w:rsid w:val="00B71D16"/>
    <w:rsid w:val="00B72102"/>
    <w:rsid w:val="00B734D2"/>
    <w:rsid w:val="00B737FE"/>
    <w:rsid w:val="00B74CD1"/>
    <w:rsid w:val="00B74E1A"/>
    <w:rsid w:val="00B753B7"/>
    <w:rsid w:val="00B75C93"/>
    <w:rsid w:val="00B76010"/>
    <w:rsid w:val="00B76390"/>
    <w:rsid w:val="00B7664F"/>
    <w:rsid w:val="00B771C5"/>
    <w:rsid w:val="00B777E1"/>
    <w:rsid w:val="00B80F5C"/>
    <w:rsid w:val="00B82C5D"/>
    <w:rsid w:val="00B83072"/>
    <w:rsid w:val="00B8341F"/>
    <w:rsid w:val="00B8349E"/>
    <w:rsid w:val="00B8361D"/>
    <w:rsid w:val="00B841DB"/>
    <w:rsid w:val="00B846BB"/>
    <w:rsid w:val="00B8491E"/>
    <w:rsid w:val="00B85D54"/>
    <w:rsid w:val="00B85ED8"/>
    <w:rsid w:val="00B8638C"/>
    <w:rsid w:val="00B86CAD"/>
    <w:rsid w:val="00B873F8"/>
    <w:rsid w:val="00B9084C"/>
    <w:rsid w:val="00B908B0"/>
    <w:rsid w:val="00B918C0"/>
    <w:rsid w:val="00B91CDA"/>
    <w:rsid w:val="00B91E3C"/>
    <w:rsid w:val="00B92CBD"/>
    <w:rsid w:val="00B934FB"/>
    <w:rsid w:val="00B935D2"/>
    <w:rsid w:val="00B941A5"/>
    <w:rsid w:val="00B94DEF"/>
    <w:rsid w:val="00B9549A"/>
    <w:rsid w:val="00B96A5F"/>
    <w:rsid w:val="00B9765B"/>
    <w:rsid w:val="00BA046C"/>
    <w:rsid w:val="00BA0A56"/>
    <w:rsid w:val="00BA1ADC"/>
    <w:rsid w:val="00BA2338"/>
    <w:rsid w:val="00BA263C"/>
    <w:rsid w:val="00BA2E70"/>
    <w:rsid w:val="00BA3C1E"/>
    <w:rsid w:val="00BA4635"/>
    <w:rsid w:val="00BA4828"/>
    <w:rsid w:val="00BA5123"/>
    <w:rsid w:val="00BA54F9"/>
    <w:rsid w:val="00BA552F"/>
    <w:rsid w:val="00BA5FDB"/>
    <w:rsid w:val="00BA6906"/>
    <w:rsid w:val="00BA6F5E"/>
    <w:rsid w:val="00BB0504"/>
    <w:rsid w:val="00BB2B12"/>
    <w:rsid w:val="00BB2C57"/>
    <w:rsid w:val="00BB2CB7"/>
    <w:rsid w:val="00BB3025"/>
    <w:rsid w:val="00BB3701"/>
    <w:rsid w:val="00BB38B7"/>
    <w:rsid w:val="00BB3F1D"/>
    <w:rsid w:val="00BB47B6"/>
    <w:rsid w:val="00BB54A3"/>
    <w:rsid w:val="00BB553E"/>
    <w:rsid w:val="00BB5DFD"/>
    <w:rsid w:val="00BB5FED"/>
    <w:rsid w:val="00BB604E"/>
    <w:rsid w:val="00BB6206"/>
    <w:rsid w:val="00BB7401"/>
    <w:rsid w:val="00BB7564"/>
    <w:rsid w:val="00BB7707"/>
    <w:rsid w:val="00BB77AF"/>
    <w:rsid w:val="00BC2004"/>
    <w:rsid w:val="00BC2572"/>
    <w:rsid w:val="00BC310C"/>
    <w:rsid w:val="00BC327F"/>
    <w:rsid w:val="00BC34EC"/>
    <w:rsid w:val="00BC35A4"/>
    <w:rsid w:val="00BC3BB9"/>
    <w:rsid w:val="00BC3E2D"/>
    <w:rsid w:val="00BC4F30"/>
    <w:rsid w:val="00BC6BA0"/>
    <w:rsid w:val="00BC7320"/>
    <w:rsid w:val="00BC749B"/>
    <w:rsid w:val="00BD004B"/>
    <w:rsid w:val="00BD092D"/>
    <w:rsid w:val="00BD1603"/>
    <w:rsid w:val="00BD2CBA"/>
    <w:rsid w:val="00BD3B60"/>
    <w:rsid w:val="00BD5382"/>
    <w:rsid w:val="00BD5BEA"/>
    <w:rsid w:val="00BD631E"/>
    <w:rsid w:val="00BD7F82"/>
    <w:rsid w:val="00BE12BE"/>
    <w:rsid w:val="00BE28AB"/>
    <w:rsid w:val="00BE29E4"/>
    <w:rsid w:val="00BE2D68"/>
    <w:rsid w:val="00BE35BC"/>
    <w:rsid w:val="00BE3E8E"/>
    <w:rsid w:val="00BE5647"/>
    <w:rsid w:val="00BE5EA2"/>
    <w:rsid w:val="00BE64F4"/>
    <w:rsid w:val="00BE69FA"/>
    <w:rsid w:val="00BE6AAB"/>
    <w:rsid w:val="00BE7798"/>
    <w:rsid w:val="00BF08B1"/>
    <w:rsid w:val="00BF0A54"/>
    <w:rsid w:val="00BF0D72"/>
    <w:rsid w:val="00BF1726"/>
    <w:rsid w:val="00BF25C6"/>
    <w:rsid w:val="00BF2BEB"/>
    <w:rsid w:val="00BF3220"/>
    <w:rsid w:val="00BF32D1"/>
    <w:rsid w:val="00BF4BE7"/>
    <w:rsid w:val="00BF5790"/>
    <w:rsid w:val="00BF57DE"/>
    <w:rsid w:val="00BF6A85"/>
    <w:rsid w:val="00BF7FA4"/>
    <w:rsid w:val="00C02414"/>
    <w:rsid w:val="00C02978"/>
    <w:rsid w:val="00C03500"/>
    <w:rsid w:val="00C03A49"/>
    <w:rsid w:val="00C04123"/>
    <w:rsid w:val="00C04912"/>
    <w:rsid w:val="00C058DA"/>
    <w:rsid w:val="00C05EC7"/>
    <w:rsid w:val="00C0638F"/>
    <w:rsid w:val="00C065B8"/>
    <w:rsid w:val="00C068BD"/>
    <w:rsid w:val="00C06BA7"/>
    <w:rsid w:val="00C06C76"/>
    <w:rsid w:val="00C123C9"/>
    <w:rsid w:val="00C12795"/>
    <w:rsid w:val="00C1379E"/>
    <w:rsid w:val="00C1384A"/>
    <w:rsid w:val="00C14128"/>
    <w:rsid w:val="00C15CDD"/>
    <w:rsid w:val="00C175E6"/>
    <w:rsid w:val="00C17967"/>
    <w:rsid w:val="00C203FA"/>
    <w:rsid w:val="00C20B6B"/>
    <w:rsid w:val="00C22568"/>
    <w:rsid w:val="00C22FA2"/>
    <w:rsid w:val="00C231EF"/>
    <w:rsid w:val="00C25157"/>
    <w:rsid w:val="00C25C26"/>
    <w:rsid w:val="00C25CCD"/>
    <w:rsid w:val="00C26BEE"/>
    <w:rsid w:val="00C273F3"/>
    <w:rsid w:val="00C275BA"/>
    <w:rsid w:val="00C27B20"/>
    <w:rsid w:val="00C30BFE"/>
    <w:rsid w:val="00C314C6"/>
    <w:rsid w:val="00C31A73"/>
    <w:rsid w:val="00C32428"/>
    <w:rsid w:val="00C33245"/>
    <w:rsid w:val="00C33738"/>
    <w:rsid w:val="00C3383D"/>
    <w:rsid w:val="00C34911"/>
    <w:rsid w:val="00C34FB2"/>
    <w:rsid w:val="00C360EE"/>
    <w:rsid w:val="00C36281"/>
    <w:rsid w:val="00C40265"/>
    <w:rsid w:val="00C40600"/>
    <w:rsid w:val="00C40A38"/>
    <w:rsid w:val="00C40BE4"/>
    <w:rsid w:val="00C40C06"/>
    <w:rsid w:val="00C42115"/>
    <w:rsid w:val="00C42816"/>
    <w:rsid w:val="00C45842"/>
    <w:rsid w:val="00C46463"/>
    <w:rsid w:val="00C4658D"/>
    <w:rsid w:val="00C4746C"/>
    <w:rsid w:val="00C4751F"/>
    <w:rsid w:val="00C477C1"/>
    <w:rsid w:val="00C47996"/>
    <w:rsid w:val="00C51415"/>
    <w:rsid w:val="00C523B7"/>
    <w:rsid w:val="00C52983"/>
    <w:rsid w:val="00C52A4C"/>
    <w:rsid w:val="00C53170"/>
    <w:rsid w:val="00C53480"/>
    <w:rsid w:val="00C535D0"/>
    <w:rsid w:val="00C53FF3"/>
    <w:rsid w:val="00C540F7"/>
    <w:rsid w:val="00C5422F"/>
    <w:rsid w:val="00C54398"/>
    <w:rsid w:val="00C54958"/>
    <w:rsid w:val="00C549E0"/>
    <w:rsid w:val="00C56006"/>
    <w:rsid w:val="00C57710"/>
    <w:rsid w:val="00C57947"/>
    <w:rsid w:val="00C6079C"/>
    <w:rsid w:val="00C618E1"/>
    <w:rsid w:val="00C6194B"/>
    <w:rsid w:val="00C61EA3"/>
    <w:rsid w:val="00C64042"/>
    <w:rsid w:val="00C64071"/>
    <w:rsid w:val="00C645C5"/>
    <w:rsid w:val="00C65389"/>
    <w:rsid w:val="00C65F2C"/>
    <w:rsid w:val="00C66901"/>
    <w:rsid w:val="00C67752"/>
    <w:rsid w:val="00C67F89"/>
    <w:rsid w:val="00C70276"/>
    <w:rsid w:val="00C70ED1"/>
    <w:rsid w:val="00C712F4"/>
    <w:rsid w:val="00C71CF7"/>
    <w:rsid w:val="00C71FB7"/>
    <w:rsid w:val="00C72C3F"/>
    <w:rsid w:val="00C732DA"/>
    <w:rsid w:val="00C747C8"/>
    <w:rsid w:val="00C74B5F"/>
    <w:rsid w:val="00C74CF7"/>
    <w:rsid w:val="00C75E71"/>
    <w:rsid w:val="00C75FD4"/>
    <w:rsid w:val="00C77134"/>
    <w:rsid w:val="00C77254"/>
    <w:rsid w:val="00C7729B"/>
    <w:rsid w:val="00C77F9C"/>
    <w:rsid w:val="00C8079D"/>
    <w:rsid w:val="00C80C5D"/>
    <w:rsid w:val="00C80FA5"/>
    <w:rsid w:val="00C8160D"/>
    <w:rsid w:val="00C83089"/>
    <w:rsid w:val="00C84196"/>
    <w:rsid w:val="00C84609"/>
    <w:rsid w:val="00C84748"/>
    <w:rsid w:val="00C84A20"/>
    <w:rsid w:val="00C851C7"/>
    <w:rsid w:val="00C851FF"/>
    <w:rsid w:val="00C90199"/>
    <w:rsid w:val="00C9037A"/>
    <w:rsid w:val="00C90526"/>
    <w:rsid w:val="00C90A75"/>
    <w:rsid w:val="00C90E40"/>
    <w:rsid w:val="00C90EBC"/>
    <w:rsid w:val="00C90EED"/>
    <w:rsid w:val="00C91A0D"/>
    <w:rsid w:val="00C91AD4"/>
    <w:rsid w:val="00C92469"/>
    <w:rsid w:val="00C93490"/>
    <w:rsid w:val="00C93A99"/>
    <w:rsid w:val="00C93C10"/>
    <w:rsid w:val="00C94156"/>
    <w:rsid w:val="00C94BE7"/>
    <w:rsid w:val="00C95855"/>
    <w:rsid w:val="00C96AA2"/>
    <w:rsid w:val="00C9700D"/>
    <w:rsid w:val="00C9771F"/>
    <w:rsid w:val="00CA00F2"/>
    <w:rsid w:val="00CA0A03"/>
    <w:rsid w:val="00CA119F"/>
    <w:rsid w:val="00CA122E"/>
    <w:rsid w:val="00CA17B8"/>
    <w:rsid w:val="00CA1EB5"/>
    <w:rsid w:val="00CA1EFF"/>
    <w:rsid w:val="00CA27CE"/>
    <w:rsid w:val="00CA31AE"/>
    <w:rsid w:val="00CA39E3"/>
    <w:rsid w:val="00CA430A"/>
    <w:rsid w:val="00CA4FAD"/>
    <w:rsid w:val="00CA527D"/>
    <w:rsid w:val="00CA57F2"/>
    <w:rsid w:val="00CA5A84"/>
    <w:rsid w:val="00CA5E7A"/>
    <w:rsid w:val="00CA6465"/>
    <w:rsid w:val="00CA70D4"/>
    <w:rsid w:val="00CA72C4"/>
    <w:rsid w:val="00CA740C"/>
    <w:rsid w:val="00CA7528"/>
    <w:rsid w:val="00CB07D0"/>
    <w:rsid w:val="00CB0D49"/>
    <w:rsid w:val="00CB2873"/>
    <w:rsid w:val="00CB3A0F"/>
    <w:rsid w:val="00CB43D3"/>
    <w:rsid w:val="00CB4762"/>
    <w:rsid w:val="00CB484E"/>
    <w:rsid w:val="00CB5ED4"/>
    <w:rsid w:val="00CB60A4"/>
    <w:rsid w:val="00CB75DA"/>
    <w:rsid w:val="00CC110B"/>
    <w:rsid w:val="00CC1550"/>
    <w:rsid w:val="00CC28D8"/>
    <w:rsid w:val="00CC2B46"/>
    <w:rsid w:val="00CC2DC9"/>
    <w:rsid w:val="00CC3160"/>
    <w:rsid w:val="00CC3A4C"/>
    <w:rsid w:val="00CC3A96"/>
    <w:rsid w:val="00CC3C6A"/>
    <w:rsid w:val="00CC434F"/>
    <w:rsid w:val="00CC551D"/>
    <w:rsid w:val="00CC5663"/>
    <w:rsid w:val="00CC5E76"/>
    <w:rsid w:val="00CC6110"/>
    <w:rsid w:val="00CC6637"/>
    <w:rsid w:val="00CC7A5F"/>
    <w:rsid w:val="00CD034A"/>
    <w:rsid w:val="00CD089B"/>
    <w:rsid w:val="00CD24C0"/>
    <w:rsid w:val="00CD2A5B"/>
    <w:rsid w:val="00CD2F05"/>
    <w:rsid w:val="00CD3333"/>
    <w:rsid w:val="00CD3EE2"/>
    <w:rsid w:val="00CD5890"/>
    <w:rsid w:val="00CD596E"/>
    <w:rsid w:val="00CD5972"/>
    <w:rsid w:val="00CD6BD5"/>
    <w:rsid w:val="00CD721C"/>
    <w:rsid w:val="00CD761D"/>
    <w:rsid w:val="00CD7810"/>
    <w:rsid w:val="00CD78CF"/>
    <w:rsid w:val="00CD7B4C"/>
    <w:rsid w:val="00CE00C7"/>
    <w:rsid w:val="00CE051F"/>
    <w:rsid w:val="00CE0CC9"/>
    <w:rsid w:val="00CE0D15"/>
    <w:rsid w:val="00CE0D22"/>
    <w:rsid w:val="00CE116E"/>
    <w:rsid w:val="00CE135E"/>
    <w:rsid w:val="00CE1792"/>
    <w:rsid w:val="00CE22A6"/>
    <w:rsid w:val="00CE2362"/>
    <w:rsid w:val="00CE261B"/>
    <w:rsid w:val="00CE2E98"/>
    <w:rsid w:val="00CE3B94"/>
    <w:rsid w:val="00CE3D8B"/>
    <w:rsid w:val="00CE424F"/>
    <w:rsid w:val="00CE46F7"/>
    <w:rsid w:val="00CE6EA7"/>
    <w:rsid w:val="00CE76BF"/>
    <w:rsid w:val="00CE7AA0"/>
    <w:rsid w:val="00CF0A84"/>
    <w:rsid w:val="00CF141D"/>
    <w:rsid w:val="00CF2162"/>
    <w:rsid w:val="00CF25ED"/>
    <w:rsid w:val="00CF31C8"/>
    <w:rsid w:val="00CF3F32"/>
    <w:rsid w:val="00CF4B3A"/>
    <w:rsid w:val="00CF5C92"/>
    <w:rsid w:val="00CF6233"/>
    <w:rsid w:val="00CF674B"/>
    <w:rsid w:val="00D00400"/>
    <w:rsid w:val="00D009D1"/>
    <w:rsid w:val="00D010F9"/>
    <w:rsid w:val="00D013B2"/>
    <w:rsid w:val="00D01C8D"/>
    <w:rsid w:val="00D030ED"/>
    <w:rsid w:val="00D03B58"/>
    <w:rsid w:val="00D049E4"/>
    <w:rsid w:val="00D05072"/>
    <w:rsid w:val="00D05DFA"/>
    <w:rsid w:val="00D06B1E"/>
    <w:rsid w:val="00D06F2F"/>
    <w:rsid w:val="00D07570"/>
    <w:rsid w:val="00D079CF"/>
    <w:rsid w:val="00D1080A"/>
    <w:rsid w:val="00D11107"/>
    <w:rsid w:val="00D11BE3"/>
    <w:rsid w:val="00D11C8C"/>
    <w:rsid w:val="00D12381"/>
    <w:rsid w:val="00D12872"/>
    <w:rsid w:val="00D1328E"/>
    <w:rsid w:val="00D132E1"/>
    <w:rsid w:val="00D138AF"/>
    <w:rsid w:val="00D13F0B"/>
    <w:rsid w:val="00D1422E"/>
    <w:rsid w:val="00D15307"/>
    <w:rsid w:val="00D1618D"/>
    <w:rsid w:val="00D16577"/>
    <w:rsid w:val="00D202AD"/>
    <w:rsid w:val="00D20661"/>
    <w:rsid w:val="00D2067A"/>
    <w:rsid w:val="00D21685"/>
    <w:rsid w:val="00D22329"/>
    <w:rsid w:val="00D245C1"/>
    <w:rsid w:val="00D246AB"/>
    <w:rsid w:val="00D24A14"/>
    <w:rsid w:val="00D250E3"/>
    <w:rsid w:val="00D25120"/>
    <w:rsid w:val="00D25170"/>
    <w:rsid w:val="00D25A96"/>
    <w:rsid w:val="00D25B3E"/>
    <w:rsid w:val="00D25C60"/>
    <w:rsid w:val="00D26B1C"/>
    <w:rsid w:val="00D2730E"/>
    <w:rsid w:val="00D302CE"/>
    <w:rsid w:val="00D302DC"/>
    <w:rsid w:val="00D30901"/>
    <w:rsid w:val="00D30D3F"/>
    <w:rsid w:val="00D30F09"/>
    <w:rsid w:val="00D32FB0"/>
    <w:rsid w:val="00D330AB"/>
    <w:rsid w:val="00D3325E"/>
    <w:rsid w:val="00D349C0"/>
    <w:rsid w:val="00D365BA"/>
    <w:rsid w:val="00D36BE5"/>
    <w:rsid w:val="00D36F33"/>
    <w:rsid w:val="00D40336"/>
    <w:rsid w:val="00D405B4"/>
    <w:rsid w:val="00D4065C"/>
    <w:rsid w:val="00D41389"/>
    <w:rsid w:val="00D41689"/>
    <w:rsid w:val="00D41FF6"/>
    <w:rsid w:val="00D4233B"/>
    <w:rsid w:val="00D42D42"/>
    <w:rsid w:val="00D42E99"/>
    <w:rsid w:val="00D432ED"/>
    <w:rsid w:val="00D43EC2"/>
    <w:rsid w:val="00D441B9"/>
    <w:rsid w:val="00D44826"/>
    <w:rsid w:val="00D44FC0"/>
    <w:rsid w:val="00D47330"/>
    <w:rsid w:val="00D4794B"/>
    <w:rsid w:val="00D47FA0"/>
    <w:rsid w:val="00D51359"/>
    <w:rsid w:val="00D52142"/>
    <w:rsid w:val="00D5274D"/>
    <w:rsid w:val="00D5302B"/>
    <w:rsid w:val="00D53C9A"/>
    <w:rsid w:val="00D53D12"/>
    <w:rsid w:val="00D54A9B"/>
    <w:rsid w:val="00D55254"/>
    <w:rsid w:val="00D56BB0"/>
    <w:rsid w:val="00D57F32"/>
    <w:rsid w:val="00D57FA2"/>
    <w:rsid w:val="00D618CD"/>
    <w:rsid w:val="00D61A29"/>
    <w:rsid w:val="00D620EB"/>
    <w:rsid w:val="00D62EB2"/>
    <w:rsid w:val="00D63329"/>
    <w:rsid w:val="00D6333B"/>
    <w:rsid w:val="00D638E1"/>
    <w:rsid w:val="00D6433B"/>
    <w:rsid w:val="00D650F0"/>
    <w:rsid w:val="00D658E5"/>
    <w:rsid w:val="00D66283"/>
    <w:rsid w:val="00D662F2"/>
    <w:rsid w:val="00D6638B"/>
    <w:rsid w:val="00D6658F"/>
    <w:rsid w:val="00D668C1"/>
    <w:rsid w:val="00D66D5B"/>
    <w:rsid w:val="00D67253"/>
    <w:rsid w:val="00D67369"/>
    <w:rsid w:val="00D67986"/>
    <w:rsid w:val="00D67BC0"/>
    <w:rsid w:val="00D702B6"/>
    <w:rsid w:val="00D70DCF"/>
    <w:rsid w:val="00D71015"/>
    <w:rsid w:val="00D710E6"/>
    <w:rsid w:val="00D72484"/>
    <w:rsid w:val="00D72735"/>
    <w:rsid w:val="00D72EFB"/>
    <w:rsid w:val="00D7342F"/>
    <w:rsid w:val="00D73699"/>
    <w:rsid w:val="00D73B82"/>
    <w:rsid w:val="00D74AE1"/>
    <w:rsid w:val="00D76C9F"/>
    <w:rsid w:val="00D77427"/>
    <w:rsid w:val="00D774EC"/>
    <w:rsid w:val="00D77643"/>
    <w:rsid w:val="00D77A77"/>
    <w:rsid w:val="00D80321"/>
    <w:rsid w:val="00D81126"/>
    <w:rsid w:val="00D81986"/>
    <w:rsid w:val="00D83BD5"/>
    <w:rsid w:val="00D83E21"/>
    <w:rsid w:val="00D84088"/>
    <w:rsid w:val="00D84A47"/>
    <w:rsid w:val="00D85012"/>
    <w:rsid w:val="00D851F0"/>
    <w:rsid w:val="00D85B4E"/>
    <w:rsid w:val="00D86489"/>
    <w:rsid w:val="00D87CE9"/>
    <w:rsid w:val="00D904DC"/>
    <w:rsid w:val="00D904DD"/>
    <w:rsid w:val="00D905E2"/>
    <w:rsid w:val="00D90C2E"/>
    <w:rsid w:val="00D92062"/>
    <w:rsid w:val="00D92369"/>
    <w:rsid w:val="00D933D6"/>
    <w:rsid w:val="00D938A2"/>
    <w:rsid w:val="00D94B30"/>
    <w:rsid w:val="00D951D8"/>
    <w:rsid w:val="00D95557"/>
    <w:rsid w:val="00D963C4"/>
    <w:rsid w:val="00D971CB"/>
    <w:rsid w:val="00D97BF0"/>
    <w:rsid w:val="00D97D22"/>
    <w:rsid w:val="00D97F29"/>
    <w:rsid w:val="00DA0F6E"/>
    <w:rsid w:val="00DA1B8F"/>
    <w:rsid w:val="00DA1E36"/>
    <w:rsid w:val="00DA24B4"/>
    <w:rsid w:val="00DA29FA"/>
    <w:rsid w:val="00DA310F"/>
    <w:rsid w:val="00DA3ED3"/>
    <w:rsid w:val="00DA3F1B"/>
    <w:rsid w:val="00DA4024"/>
    <w:rsid w:val="00DA53DE"/>
    <w:rsid w:val="00DA55E4"/>
    <w:rsid w:val="00DA59F0"/>
    <w:rsid w:val="00DA5EA6"/>
    <w:rsid w:val="00DA680A"/>
    <w:rsid w:val="00DA6A1A"/>
    <w:rsid w:val="00DA6B35"/>
    <w:rsid w:val="00DA6B58"/>
    <w:rsid w:val="00DA72F6"/>
    <w:rsid w:val="00DA76F9"/>
    <w:rsid w:val="00DA7C5D"/>
    <w:rsid w:val="00DA7E3E"/>
    <w:rsid w:val="00DA7F75"/>
    <w:rsid w:val="00DB0DD6"/>
    <w:rsid w:val="00DB2504"/>
    <w:rsid w:val="00DB3391"/>
    <w:rsid w:val="00DB33B8"/>
    <w:rsid w:val="00DB3C07"/>
    <w:rsid w:val="00DB3F1C"/>
    <w:rsid w:val="00DB4FE4"/>
    <w:rsid w:val="00DB504F"/>
    <w:rsid w:val="00DB576B"/>
    <w:rsid w:val="00DB6F39"/>
    <w:rsid w:val="00DB7914"/>
    <w:rsid w:val="00DC024E"/>
    <w:rsid w:val="00DC04D9"/>
    <w:rsid w:val="00DC1DC1"/>
    <w:rsid w:val="00DC2040"/>
    <w:rsid w:val="00DC2F1F"/>
    <w:rsid w:val="00DC3513"/>
    <w:rsid w:val="00DC4378"/>
    <w:rsid w:val="00DC4659"/>
    <w:rsid w:val="00DC5619"/>
    <w:rsid w:val="00DC5D42"/>
    <w:rsid w:val="00DC6816"/>
    <w:rsid w:val="00DD00AB"/>
    <w:rsid w:val="00DD0804"/>
    <w:rsid w:val="00DD0B0A"/>
    <w:rsid w:val="00DD1BE0"/>
    <w:rsid w:val="00DD2874"/>
    <w:rsid w:val="00DD2999"/>
    <w:rsid w:val="00DD2D02"/>
    <w:rsid w:val="00DD358C"/>
    <w:rsid w:val="00DD488C"/>
    <w:rsid w:val="00DD50DF"/>
    <w:rsid w:val="00DD55CC"/>
    <w:rsid w:val="00DD7A14"/>
    <w:rsid w:val="00DE0A37"/>
    <w:rsid w:val="00DE0F3F"/>
    <w:rsid w:val="00DE0FB6"/>
    <w:rsid w:val="00DE207B"/>
    <w:rsid w:val="00DE2196"/>
    <w:rsid w:val="00DE253A"/>
    <w:rsid w:val="00DE301F"/>
    <w:rsid w:val="00DE3337"/>
    <w:rsid w:val="00DE376C"/>
    <w:rsid w:val="00DE3CFB"/>
    <w:rsid w:val="00DE4C74"/>
    <w:rsid w:val="00DE670C"/>
    <w:rsid w:val="00DE6989"/>
    <w:rsid w:val="00DE6EAE"/>
    <w:rsid w:val="00DE7658"/>
    <w:rsid w:val="00DF2C3B"/>
    <w:rsid w:val="00DF308D"/>
    <w:rsid w:val="00DF3C29"/>
    <w:rsid w:val="00DF3D06"/>
    <w:rsid w:val="00DF3F27"/>
    <w:rsid w:val="00DF56D8"/>
    <w:rsid w:val="00DF592C"/>
    <w:rsid w:val="00DF6028"/>
    <w:rsid w:val="00DF60A9"/>
    <w:rsid w:val="00DF739D"/>
    <w:rsid w:val="00DF76C2"/>
    <w:rsid w:val="00E00C55"/>
    <w:rsid w:val="00E013B8"/>
    <w:rsid w:val="00E01703"/>
    <w:rsid w:val="00E03DEB"/>
    <w:rsid w:val="00E0407F"/>
    <w:rsid w:val="00E04C03"/>
    <w:rsid w:val="00E05A80"/>
    <w:rsid w:val="00E0758E"/>
    <w:rsid w:val="00E07D91"/>
    <w:rsid w:val="00E102C1"/>
    <w:rsid w:val="00E10654"/>
    <w:rsid w:val="00E107BC"/>
    <w:rsid w:val="00E120E6"/>
    <w:rsid w:val="00E12248"/>
    <w:rsid w:val="00E12509"/>
    <w:rsid w:val="00E128A0"/>
    <w:rsid w:val="00E12CF0"/>
    <w:rsid w:val="00E1367E"/>
    <w:rsid w:val="00E138D0"/>
    <w:rsid w:val="00E146A3"/>
    <w:rsid w:val="00E15A65"/>
    <w:rsid w:val="00E15CC3"/>
    <w:rsid w:val="00E166C7"/>
    <w:rsid w:val="00E166FC"/>
    <w:rsid w:val="00E16EDC"/>
    <w:rsid w:val="00E17E75"/>
    <w:rsid w:val="00E20828"/>
    <w:rsid w:val="00E2161F"/>
    <w:rsid w:val="00E219EF"/>
    <w:rsid w:val="00E22DBC"/>
    <w:rsid w:val="00E22EEA"/>
    <w:rsid w:val="00E23393"/>
    <w:rsid w:val="00E2368A"/>
    <w:rsid w:val="00E23706"/>
    <w:rsid w:val="00E23A06"/>
    <w:rsid w:val="00E24356"/>
    <w:rsid w:val="00E244B1"/>
    <w:rsid w:val="00E2497F"/>
    <w:rsid w:val="00E2543A"/>
    <w:rsid w:val="00E255B2"/>
    <w:rsid w:val="00E25A41"/>
    <w:rsid w:val="00E25E60"/>
    <w:rsid w:val="00E268BA"/>
    <w:rsid w:val="00E272CE"/>
    <w:rsid w:val="00E27863"/>
    <w:rsid w:val="00E303BC"/>
    <w:rsid w:val="00E306DC"/>
    <w:rsid w:val="00E3108C"/>
    <w:rsid w:val="00E3187D"/>
    <w:rsid w:val="00E322A9"/>
    <w:rsid w:val="00E325BE"/>
    <w:rsid w:val="00E32B31"/>
    <w:rsid w:val="00E3322C"/>
    <w:rsid w:val="00E33782"/>
    <w:rsid w:val="00E33E49"/>
    <w:rsid w:val="00E3439A"/>
    <w:rsid w:val="00E346BA"/>
    <w:rsid w:val="00E34822"/>
    <w:rsid w:val="00E35301"/>
    <w:rsid w:val="00E357B8"/>
    <w:rsid w:val="00E35CBE"/>
    <w:rsid w:val="00E35EF0"/>
    <w:rsid w:val="00E36DE7"/>
    <w:rsid w:val="00E3789C"/>
    <w:rsid w:val="00E37A21"/>
    <w:rsid w:val="00E37C90"/>
    <w:rsid w:val="00E40FF2"/>
    <w:rsid w:val="00E4119D"/>
    <w:rsid w:val="00E4288F"/>
    <w:rsid w:val="00E436FF"/>
    <w:rsid w:val="00E43A89"/>
    <w:rsid w:val="00E441D8"/>
    <w:rsid w:val="00E4435A"/>
    <w:rsid w:val="00E4479C"/>
    <w:rsid w:val="00E451BC"/>
    <w:rsid w:val="00E45526"/>
    <w:rsid w:val="00E455CF"/>
    <w:rsid w:val="00E45654"/>
    <w:rsid w:val="00E45BBB"/>
    <w:rsid w:val="00E45BE5"/>
    <w:rsid w:val="00E46920"/>
    <w:rsid w:val="00E47135"/>
    <w:rsid w:val="00E47324"/>
    <w:rsid w:val="00E47A77"/>
    <w:rsid w:val="00E47E1F"/>
    <w:rsid w:val="00E51195"/>
    <w:rsid w:val="00E51ABC"/>
    <w:rsid w:val="00E51F80"/>
    <w:rsid w:val="00E52BFA"/>
    <w:rsid w:val="00E53FE4"/>
    <w:rsid w:val="00E54098"/>
    <w:rsid w:val="00E54B9E"/>
    <w:rsid w:val="00E5537C"/>
    <w:rsid w:val="00E56178"/>
    <w:rsid w:val="00E563E5"/>
    <w:rsid w:val="00E56544"/>
    <w:rsid w:val="00E56BDB"/>
    <w:rsid w:val="00E56BFB"/>
    <w:rsid w:val="00E5731E"/>
    <w:rsid w:val="00E57DB5"/>
    <w:rsid w:val="00E6071F"/>
    <w:rsid w:val="00E615AB"/>
    <w:rsid w:val="00E61E59"/>
    <w:rsid w:val="00E6287A"/>
    <w:rsid w:val="00E62B2A"/>
    <w:rsid w:val="00E62C9E"/>
    <w:rsid w:val="00E63792"/>
    <w:rsid w:val="00E63902"/>
    <w:rsid w:val="00E644F9"/>
    <w:rsid w:val="00E6454C"/>
    <w:rsid w:val="00E64620"/>
    <w:rsid w:val="00E64901"/>
    <w:rsid w:val="00E649B9"/>
    <w:rsid w:val="00E65CD1"/>
    <w:rsid w:val="00E65E56"/>
    <w:rsid w:val="00E666D8"/>
    <w:rsid w:val="00E7065D"/>
    <w:rsid w:val="00E71AFE"/>
    <w:rsid w:val="00E71C25"/>
    <w:rsid w:val="00E71D32"/>
    <w:rsid w:val="00E7259D"/>
    <w:rsid w:val="00E72768"/>
    <w:rsid w:val="00E736A9"/>
    <w:rsid w:val="00E7433B"/>
    <w:rsid w:val="00E74750"/>
    <w:rsid w:val="00E74B80"/>
    <w:rsid w:val="00E7511D"/>
    <w:rsid w:val="00E75AB8"/>
    <w:rsid w:val="00E75B2A"/>
    <w:rsid w:val="00E75C63"/>
    <w:rsid w:val="00E760F3"/>
    <w:rsid w:val="00E7661F"/>
    <w:rsid w:val="00E776C7"/>
    <w:rsid w:val="00E779B3"/>
    <w:rsid w:val="00E77A09"/>
    <w:rsid w:val="00E77E48"/>
    <w:rsid w:val="00E800D3"/>
    <w:rsid w:val="00E807DF"/>
    <w:rsid w:val="00E81DA3"/>
    <w:rsid w:val="00E823A8"/>
    <w:rsid w:val="00E8253E"/>
    <w:rsid w:val="00E84A9D"/>
    <w:rsid w:val="00E87F8A"/>
    <w:rsid w:val="00E90D5E"/>
    <w:rsid w:val="00E91158"/>
    <w:rsid w:val="00E91DFE"/>
    <w:rsid w:val="00E92688"/>
    <w:rsid w:val="00E92BB9"/>
    <w:rsid w:val="00E92E3C"/>
    <w:rsid w:val="00E93A86"/>
    <w:rsid w:val="00E949BA"/>
    <w:rsid w:val="00E95A2F"/>
    <w:rsid w:val="00E9616D"/>
    <w:rsid w:val="00E9693E"/>
    <w:rsid w:val="00E97587"/>
    <w:rsid w:val="00E978D5"/>
    <w:rsid w:val="00E97DAD"/>
    <w:rsid w:val="00EA08C3"/>
    <w:rsid w:val="00EA1686"/>
    <w:rsid w:val="00EA21F3"/>
    <w:rsid w:val="00EA230E"/>
    <w:rsid w:val="00EA28D7"/>
    <w:rsid w:val="00EA3882"/>
    <w:rsid w:val="00EA3A1F"/>
    <w:rsid w:val="00EA4066"/>
    <w:rsid w:val="00EA445E"/>
    <w:rsid w:val="00EA4676"/>
    <w:rsid w:val="00EA4F7A"/>
    <w:rsid w:val="00EA56CF"/>
    <w:rsid w:val="00EA5F1A"/>
    <w:rsid w:val="00EA65AA"/>
    <w:rsid w:val="00EB0F68"/>
    <w:rsid w:val="00EB269B"/>
    <w:rsid w:val="00EB283E"/>
    <w:rsid w:val="00EB3365"/>
    <w:rsid w:val="00EB35CE"/>
    <w:rsid w:val="00EB4583"/>
    <w:rsid w:val="00EB5B8B"/>
    <w:rsid w:val="00EB5C82"/>
    <w:rsid w:val="00EB6B10"/>
    <w:rsid w:val="00EB7622"/>
    <w:rsid w:val="00EB769D"/>
    <w:rsid w:val="00EB77C9"/>
    <w:rsid w:val="00EC02B6"/>
    <w:rsid w:val="00EC0989"/>
    <w:rsid w:val="00EC0A45"/>
    <w:rsid w:val="00EC0EA3"/>
    <w:rsid w:val="00EC21AF"/>
    <w:rsid w:val="00EC24FF"/>
    <w:rsid w:val="00EC3090"/>
    <w:rsid w:val="00EC33F6"/>
    <w:rsid w:val="00EC36A3"/>
    <w:rsid w:val="00EC4C61"/>
    <w:rsid w:val="00EC777F"/>
    <w:rsid w:val="00ED0381"/>
    <w:rsid w:val="00ED19F8"/>
    <w:rsid w:val="00ED1C3F"/>
    <w:rsid w:val="00ED231A"/>
    <w:rsid w:val="00ED2DB6"/>
    <w:rsid w:val="00ED2E1C"/>
    <w:rsid w:val="00ED4AFB"/>
    <w:rsid w:val="00ED4E2E"/>
    <w:rsid w:val="00ED658A"/>
    <w:rsid w:val="00ED68B1"/>
    <w:rsid w:val="00ED6C46"/>
    <w:rsid w:val="00ED6D83"/>
    <w:rsid w:val="00ED74E2"/>
    <w:rsid w:val="00ED777F"/>
    <w:rsid w:val="00ED79E9"/>
    <w:rsid w:val="00EE0D2B"/>
    <w:rsid w:val="00EE2EEE"/>
    <w:rsid w:val="00EE30A0"/>
    <w:rsid w:val="00EE31A8"/>
    <w:rsid w:val="00EE36A2"/>
    <w:rsid w:val="00EE4CF8"/>
    <w:rsid w:val="00EE6AE5"/>
    <w:rsid w:val="00EE6EE8"/>
    <w:rsid w:val="00EE7383"/>
    <w:rsid w:val="00EF11C4"/>
    <w:rsid w:val="00EF18EE"/>
    <w:rsid w:val="00EF1E3B"/>
    <w:rsid w:val="00EF22BA"/>
    <w:rsid w:val="00EF2D86"/>
    <w:rsid w:val="00EF3092"/>
    <w:rsid w:val="00EF4566"/>
    <w:rsid w:val="00EF4AE2"/>
    <w:rsid w:val="00EF4BAE"/>
    <w:rsid w:val="00EF5366"/>
    <w:rsid w:val="00EF5998"/>
    <w:rsid w:val="00EF5DFB"/>
    <w:rsid w:val="00EF6A92"/>
    <w:rsid w:val="00EF6B20"/>
    <w:rsid w:val="00EF6BC0"/>
    <w:rsid w:val="00EF766F"/>
    <w:rsid w:val="00EF7C47"/>
    <w:rsid w:val="00F00033"/>
    <w:rsid w:val="00F00A56"/>
    <w:rsid w:val="00F0191D"/>
    <w:rsid w:val="00F01999"/>
    <w:rsid w:val="00F02630"/>
    <w:rsid w:val="00F027C3"/>
    <w:rsid w:val="00F02BD2"/>
    <w:rsid w:val="00F02ED7"/>
    <w:rsid w:val="00F03A86"/>
    <w:rsid w:val="00F049EC"/>
    <w:rsid w:val="00F04A7B"/>
    <w:rsid w:val="00F04E37"/>
    <w:rsid w:val="00F05EB5"/>
    <w:rsid w:val="00F05F54"/>
    <w:rsid w:val="00F066CA"/>
    <w:rsid w:val="00F10689"/>
    <w:rsid w:val="00F10EF7"/>
    <w:rsid w:val="00F110EB"/>
    <w:rsid w:val="00F13572"/>
    <w:rsid w:val="00F142F5"/>
    <w:rsid w:val="00F149ED"/>
    <w:rsid w:val="00F14BB2"/>
    <w:rsid w:val="00F161B3"/>
    <w:rsid w:val="00F1632B"/>
    <w:rsid w:val="00F16FBF"/>
    <w:rsid w:val="00F17470"/>
    <w:rsid w:val="00F20D17"/>
    <w:rsid w:val="00F22580"/>
    <w:rsid w:val="00F226CD"/>
    <w:rsid w:val="00F22F7B"/>
    <w:rsid w:val="00F232B2"/>
    <w:rsid w:val="00F23CFC"/>
    <w:rsid w:val="00F2486C"/>
    <w:rsid w:val="00F24A8F"/>
    <w:rsid w:val="00F252C2"/>
    <w:rsid w:val="00F25E73"/>
    <w:rsid w:val="00F26480"/>
    <w:rsid w:val="00F26581"/>
    <w:rsid w:val="00F27394"/>
    <w:rsid w:val="00F27927"/>
    <w:rsid w:val="00F30122"/>
    <w:rsid w:val="00F30138"/>
    <w:rsid w:val="00F307E9"/>
    <w:rsid w:val="00F3217C"/>
    <w:rsid w:val="00F326B5"/>
    <w:rsid w:val="00F3360E"/>
    <w:rsid w:val="00F33B6A"/>
    <w:rsid w:val="00F33BDD"/>
    <w:rsid w:val="00F342A7"/>
    <w:rsid w:val="00F346D2"/>
    <w:rsid w:val="00F3470C"/>
    <w:rsid w:val="00F37C5D"/>
    <w:rsid w:val="00F37D96"/>
    <w:rsid w:val="00F40757"/>
    <w:rsid w:val="00F40C74"/>
    <w:rsid w:val="00F4138F"/>
    <w:rsid w:val="00F41724"/>
    <w:rsid w:val="00F418CE"/>
    <w:rsid w:val="00F419E8"/>
    <w:rsid w:val="00F4202B"/>
    <w:rsid w:val="00F429B9"/>
    <w:rsid w:val="00F42AA2"/>
    <w:rsid w:val="00F42D59"/>
    <w:rsid w:val="00F4350F"/>
    <w:rsid w:val="00F43F73"/>
    <w:rsid w:val="00F44C0A"/>
    <w:rsid w:val="00F45B30"/>
    <w:rsid w:val="00F45BD9"/>
    <w:rsid w:val="00F46FCA"/>
    <w:rsid w:val="00F5036F"/>
    <w:rsid w:val="00F50A4C"/>
    <w:rsid w:val="00F512C2"/>
    <w:rsid w:val="00F51FD9"/>
    <w:rsid w:val="00F52A7A"/>
    <w:rsid w:val="00F52BC7"/>
    <w:rsid w:val="00F53249"/>
    <w:rsid w:val="00F537A1"/>
    <w:rsid w:val="00F54FA8"/>
    <w:rsid w:val="00F5572D"/>
    <w:rsid w:val="00F5748E"/>
    <w:rsid w:val="00F579D6"/>
    <w:rsid w:val="00F57A86"/>
    <w:rsid w:val="00F600A4"/>
    <w:rsid w:val="00F624E1"/>
    <w:rsid w:val="00F6277E"/>
    <w:rsid w:val="00F627D8"/>
    <w:rsid w:val="00F6323C"/>
    <w:rsid w:val="00F632BC"/>
    <w:rsid w:val="00F6333D"/>
    <w:rsid w:val="00F63F4E"/>
    <w:rsid w:val="00F64129"/>
    <w:rsid w:val="00F64475"/>
    <w:rsid w:val="00F65915"/>
    <w:rsid w:val="00F6591E"/>
    <w:rsid w:val="00F6630A"/>
    <w:rsid w:val="00F6662B"/>
    <w:rsid w:val="00F6662D"/>
    <w:rsid w:val="00F67BC0"/>
    <w:rsid w:val="00F7010E"/>
    <w:rsid w:val="00F70AFC"/>
    <w:rsid w:val="00F7131D"/>
    <w:rsid w:val="00F71348"/>
    <w:rsid w:val="00F72115"/>
    <w:rsid w:val="00F7213C"/>
    <w:rsid w:val="00F7396F"/>
    <w:rsid w:val="00F73C74"/>
    <w:rsid w:val="00F73FD5"/>
    <w:rsid w:val="00F755EA"/>
    <w:rsid w:val="00F75AE2"/>
    <w:rsid w:val="00F775BC"/>
    <w:rsid w:val="00F80A37"/>
    <w:rsid w:val="00F8157C"/>
    <w:rsid w:val="00F82122"/>
    <w:rsid w:val="00F837A1"/>
    <w:rsid w:val="00F84E26"/>
    <w:rsid w:val="00F8527B"/>
    <w:rsid w:val="00F85DE9"/>
    <w:rsid w:val="00F863C8"/>
    <w:rsid w:val="00F8676D"/>
    <w:rsid w:val="00F86F3F"/>
    <w:rsid w:val="00F87C6A"/>
    <w:rsid w:val="00F90330"/>
    <w:rsid w:val="00F90332"/>
    <w:rsid w:val="00F90378"/>
    <w:rsid w:val="00F90520"/>
    <w:rsid w:val="00F90690"/>
    <w:rsid w:val="00F917FE"/>
    <w:rsid w:val="00F91A27"/>
    <w:rsid w:val="00F92C80"/>
    <w:rsid w:val="00F933E7"/>
    <w:rsid w:val="00F947E6"/>
    <w:rsid w:val="00F94A65"/>
    <w:rsid w:val="00F956A0"/>
    <w:rsid w:val="00F95C02"/>
    <w:rsid w:val="00F96E0A"/>
    <w:rsid w:val="00F97862"/>
    <w:rsid w:val="00F9799A"/>
    <w:rsid w:val="00F97B89"/>
    <w:rsid w:val="00F97C8A"/>
    <w:rsid w:val="00FA07E7"/>
    <w:rsid w:val="00FA0802"/>
    <w:rsid w:val="00FA1430"/>
    <w:rsid w:val="00FA1C80"/>
    <w:rsid w:val="00FA1CFF"/>
    <w:rsid w:val="00FA1D38"/>
    <w:rsid w:val="00FA3794"/>
    <w:rsid w:val="00FA4CE2"/>
    <w:rsid w:val="00FA5374"/>
    <w:rsid w:val="00FA5585"/>
    <w:rsid w:val="00FA58B5"/>
    <w:rsid w:val="00FA5D9C"/>
    <w:rsid w:val="00FA5FFE"/>
    <w:rsid w:val="00FB03B3"/>
    <w:rsid w:val="00FB1085"/>
    <w:rsid w:val="00FB2CE0"/>
    <w:rsid w:val="00FB4775"/>
    <w:rsid w:val="00FB47E1"/>
    <w:rsid w:val="00FB4EFF"/>
    <w:rsid w:val="00FB5691"/>
    <w:rsid w:val="00FB6CC8"/>
    <w:rsid w:val="00FB6CD5"/>
    <w:rsid w:val="00FB7A2A"/>
    <w:rsid w:val="00FC0CB2"/>
    <w:rsid w:val="00FC2095"/>
    <w:rsid w:val="00FC3132"/>
    <w:rsid w:val="00FC3A00"/>
    <w:rsid w:val="00FC3A08"/>
    <w:rsid w:val="00FC4EB4"/>
    <w:rsid w:val="00FC55EE"/>
    <w:rsid w:val="00FC6F57"/>
    <w:rsid w:val="00FD064D"/>
    <w:rsid w:val="00FD1E05"/>
    <w:rsid w:val="00FD2205"/>
    <w:rsid w:val="00FD24BF"/>
    <w:rsid w:val="00FD2B15"/>
    <w:rsid w:val="00FD2D7D"/>
    <w:rsid w:val="00FD3585"/>
    <w:rsid w:val="00FD4D51"/>
    <w:rsid w:val="00FD53B4"/>
    <w:rsid w:val="00FD59EC"/>
    <w:rsid w:val="00FD5E8A"/>
    <w:rsid w:val="00FD67C5"/>
    <w:rsid w:val="00FD7259"/>
    <w:rsid w:val="00FD78DA"/>
    <w:rsid w:val="00FD7FC5"/>
    <w:rsid w:val="00FE2BA5"/>
    <w:rsid w:val="00FE2C22"/>
    <w:rsid w:val="00FE3273"/>
    <w:rsid w:val="00FE3867"/>
    <w:rsid w:val="00FE4D00"/>
    <w:rsid w:val="00FE626D"/>
    <w:rsid w:val="00FF05FC"/>
    <w:rsid w:val="00FF0777"/>
    <w:rsid w:val="00FF1318"/>
    <w:rsid w:val="00FF139B"/>
    <w:rsid w:val="00FF26F3"/>
    <w:rsid w:val="00FF2999"/>
    <w:rsid w:val="00FF43E4"/>
    <w:rsid w:val="00FF482B"/>
    <w:rsid w:val="00FF5E3A"/>
    <w:rsid w:val="00FF5F15"/>
    <w:rsid w:val="00FF69B4"/>
    <w:rsid w:val="00FF75CA"/>
    <w:rsid w:val="00FF77CB"/>
    <w:rsid w:val="00FF7B32"/>
    <w:rsid w:val="0666580E"/>
    <w:rsid w:val="0A360B6D"/>
    <w:rsid w:val="0A7A7CFA"/>
    <w:rsid w:val="10AE33D3"/>
    <w:rsid w:val="11B67C3C"/>
    <w:rsid w:val="12516E6E"/>
    <w:rsid w:val="12CE0BE0"/>
    <w:rsid w:val="1508285A"/>
    <w:rsid w:val="19377828"/>
    <w:rsid w:val="1A0C3C22"/>
    <w:rsid w:val="1BC0687F"/>
    <w:rsid w:val="1F132900"/>
    <w:rsid w:val="214156CA"/>
    <w:rsid w:val="22D039C0"/>
    <w:rsid w:val="23D70B7F"/>
    <w:rsid w:val="24981A6A"/>
    <w:rsid w:val="2584600A"/>
    <w:rsid w:val="258D30BB"/>
    <w:rsid w:val="26FF6816"/>
    <w:rsid w:val="2B57559C"/>
    <w:rsid w:val="2EFC1307"/>
    <w:rsid w:val="399F745E"/>
    <w:rsid w:val="3C6A6ECC"/>
    <w:rsid w:val="3E756F33"/>
    <w:rsid w:val="3FC94672"/>
    <w:rsid w:val="403B4E27"/>
    <w:rsid w:val="41C30914"/>
    <w:rsid w:val="45CF06D9"/>
    <w:rsid w:val="45FB56EF"/>
    <w:rsid w:val="493F59C0"/>
    <w:rsid w:val="49D7231F"/>
    <w:rsid w:val="4FAB016E"/>
    <w:rsid w:val="52824A68"/>
    <w:rsid w:val="54B56EEB"/>
    <w:rsid w:val="58C85C32"/>
    <w:rsid w:val="5CC20090"/>
    <w:rsid w:val="5E226B73"/>
    <w:rsid w:val="5FBF6B29"/>
    <w:rsid w:val="63124125"/>
    <w:rsid w:val="66660838"/>
    <w:rsid w:val="67F820A3"/>
    <w:rsid w:val="6C0F37CD"/>
    <w:rsid w:val="6C4A4939"/>
    <w:rsid w:val="718052CE"/>
    <w:rsid w:val="734C3AD7"/>
    <w:rsid w:val="73827B3A"/>
    <w:rsid w:val="73DF4EDD"/>
    <w:rsid w:val="73E81E1D"/>
    <w:rsid w:val="7440091B"/>
    <w:rsid w:val="79AC62EA"/>
    <w:rsid w:val="7E4505F9"/>
    <w:rsid w:val="7EB10D93"/>
    <w:rsid w:val="7FEC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semiHidden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link w:val="27"/>
    <w:qFormat/>
    <w:uiPriority w:val="0"/>
    <w:rPr>
      <w:sz w:val="21"/>
      <w:szCs w:val="20"/>
    </w:r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qFormat/>
    <w:uiPriority w:val="0"/>
    <w:rPr>
      <w:rFonts w:ascii="宋体" w:hAnsi="Courier New"/>
      <w:szCs w:val="20"/>
    </w:rPr>
  </w:style>
  <w:style w:type="paragraph" w:styleId="10">
    <w:name w:val="Date"/>
    <w:basedOn w:val="1"/>
    <w:next w:val="1"/>
    <w:qFormat/>
    <w:uiPriority w:val="0"/>
    <w:pPr>
      <w:ind w:left="100" w:leftChars="2500"/>
    </w:pPr>
  </w:style>
  <w:style w:type="paragraph" w:styleId="11">
    <w:name w:val="Body Text Indent 2"/>
    <w:basedOn w:val="1"/>
    <w:qFormat/>
    <w:uiPriority w:val="0"/>
    <w:pPr>
      <w:spacing w:after="120" w:line="480" w:lineRule="auto"/>
      <w:ind w:left="420"/>
    </w:pPr>
  </w:style>
  <w:style w:type="paragraph" w:styleId="12">
    <w:name w:val="Balloon Text"/>
    <w:basedOn w:val="1"/>
    <w:link w:val="28"/>
    <w:qFormat/>
    <w:uiPriority w:val="0"/>
    <w:rPr>
      <w:sz w:val="18"/>
      <w:szCs w:val="18"/>
    </w:rPr>
  </w:style>
  <w:style w:type="paragraph" w:styleId="13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kern w:val="0"/>
    </w:rPr>
  </w:style>
  <w:style w:type="paragraph" w:styleId="18">
    <w:name w:val="Title"/>
    <w:basedOn w:val="1"/>
    <w:link w:val="3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9">
    <w:name w:val="annotation subject"/>
    <w:basedOn w:val="7"/>
    <w:next w:val="7"/>
    <w:link w:val="32"/>
    <w:qFormat/>
    <w:uiPriority w:val="0"/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0"/>
    <w:rPr>
      <w:b/>
      <w:bCs/>
    </w:rPr>
  </w:style>
  <w:style w:type="character" w:styleId="24">
    <w:name w:val="page number"/>
    <w:basedOn w:val="22"/>
    <w:qFormat/>
    <w:uiPriority w:val="0"/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annotation reference"/>
    <w:qFormat/>
    <w:uiPriority w:val="0"/>
    <w:rPr>
      <w:sz w:val="21"/>
      <w:szCs w:val="21"/>
    </w:rPr>
  </w:style>
  <w:style w:type="character" w:customStyle="1" w:styleId="27">
    <w:name w:val="批注文字 字符"/>
    <w:link w:val="7"/>
    <w:qFormat/>
    <w:uiPriority w:val="0"/>
    <w:rPr>
      <w:kern w:val="2"/>
      <w:sz w:val="21"/>
    </w:rPr>
  </w:style>
  <w:style w:type="character" w:customStyle="1" w:styleId="28">
    <w:name w:val="批注框文本 字符"/>
    <w:link w:val="12"/>
    <w:qFormat/>
    <w:uiPriority w:val="0"/>
    <w:rPr>
      <w:kern w:val="2"/>
      <w:sz w:val="18"/>
      <w:szCs w:val="18"/>
    </w:rPr>
  </w:style>
  <w:style w:type="character" w:customStyle="1" w:styleId="29">
    <w:name w:val="页脚 字符"/>
    <w:link w:val="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页眉 字符"/>
    <w:link w:val="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1">
    <w:name w:val="标题 字符"/>
    <w:link w:val="18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2">
    <w:name w:val="批注主题 字符"/>
    <w:link w:val="19"/>
    <w:qFormat/>
    <w:uiPriority w:val="0"/>
    <w:rPr>
      <w:kern w:val="2"/>
      <w:sz w:val="21"/>
    </w:rPr>
  </w:style>
  <w:style w:type="character" w:customStyle="1" w:styleId="33">
    <w:name w:val="样式 黑体 小四 Char Char"/>
    <w:link w:val="34"/>
    <w:qFormat/>
    <w:uiPriority w:val="0"/>
    <w:rPr>
      <w:rFonts w:ascii="黑体" w:hAnsi="Arial" w:eastAsia="黑体" w:cs="Arial"/>
      <w:b/>
      <w:bCs/>
      <w:kern w:val="2"/>
      <w:sz w:val="24"/>
      <w:szCs w:val="32"/>
      <w:lang w:val="en-US" w:eastAsia="zh-CN" w:bidi="ar-SA"/>
    </w:rPr>
  </w:style>
  <w:style w:type="paragraph" w:customStyle="1" w:styleId="34">
    <w:name w:val="样式 黑体 小四"/>
    <w:basedOn w:val="18"/>
    <w:link w:val="33"/>
    <w:qFormat/>
    <w:uiPriority w:val="0"/>
    <w:rPr>
      <w:rFonts w:ascii="黑体" w:hAnsi="Arial" w:eastAsia="黑体" w:cs="Arial"/>
      <w:sz w:val="24"/>
    </w:rPr>
  </w:style>
  <w:style w:type="character" w:customStyle="1" w:styleId="35">
    <w:name w:val="样式 黑体 四号 Char Char"/>
    <w:link w:val="36"/>
    <w:qFormat/>
    <w:uiPriority w:val="0"/>
    <w:rPr>
      <w:rFonts w:ascii="黑体" w:hAnsi="Arial" w:eastAsia="黑体" w:cs="Arial"/>
      <w:b/>
      <w:bCs/>
      <w:kern w:val="2"/>
      <w:sz w:val="28"/>
      <w:szCs w:val="28"/>
      <w:lang w:val="en-US" w:eastAsia="zh-CN" w:bidi="ar-SA"/>
    </w:rPr>
  </w:style>
  <w:style w:type="paragraph" w:customStyle="1" w:styleId="36">
    <w:name w:val="样式 黑体 四号"/>
    <w:basedOn w:val="18"/>
    <w:link w:val="35"/>
    <w:qFormat/>
    <w:uiPriority w:val="0"/>
    <w:rPr>
      <w:rFonts w:ascii="黑体" w:hAnsi="Arial" w:eastAsia="黑体" w:cs="Arial"/>
      <w:sz w:val="28"/>
      <w:szCs w:val="28"/>
    </w:rPr>
  </w:style>
  <w:style w:type="character" w:customStyle="1" w:styleId="37">
    <w:name w:val="样式 黑体 四号 Char"/>
    <w:qFormat/>
    <w:uiPriority w:val="0"/>
    <w:rPr>
      <w:rFonts w:ascii="黑体" w:hAnsi="Arial" w:eastAsia="黑体" w:cs="Arial"/>
      <w:b/>
      <w:bCs/>
      <w:kern w:val="2"/>
      <w:sz w:val="28"/>
      <w:szCs w:val="28"/>
      <w:lang w:val="en-US" w:eastAsia="zh-CN" w:bidi="ar-SA"/>
    </w:rPr>
  </w:style>
  <w:style w:type="character" w:customStyle="1" w:styleId="38">
    <w:name w:val="标题4 Char"/>
    <w:link w:val="39"/>
    <w:qFormat/>
    <w:uiPriority w:val="0"/>
    <w:rPr>
      <w:rFonts w:eastAsia="宋体"/>
      <w:kern w:val="2"/>
      <w:sz w:val="21"/>
      <w:lang w:val="en-US" w:eastAsia="zh-CN" w:bidi="ar-SA"/>
    </w:rPr>
  </w:style>
  <w:style w:type="paragraph" w:customStyle="1" w:styleId="39">
    <w:name w:val="标题4"/>
    <w:basedOn w:val="1"/>
    <w:link w:val="38"/>
    <w:qFormat/>
    <w:uiPriority w:val="0"/>
    <w:pPr>
      <w:numPr>
        <w:ilvl w:val="0"/>
        <w:numId w:val="1"/>
      </w:numPr>
    </w:pPr>
    <w:rPr>
      <w:sz w:val="21"/>
      <w:szCs w:val="20"/>
    </w:rPr>
  </w:style>
  <w:style w:type="character" w:customStyle="1" w:styleId="40">
    <w:name w:val="a9_text1"/>
    <w:qFormat/>
    <w:uiPriority w:val="0"/>
    <w:rPr>
      <w:rFonts w:hint="default" w:ascii="Arial" w:hAnsi="Arial" w:cs="Arial"/>
      <w:color w:val="525252"/>
      <w:sz w:val="18"/>
      <w:szCs w:val="18"/>
      <w:u w:val="none"/>
    </w:rPr>
  </w:style>
  <w:style w:type="character" w:customStyle="1" w:styleId="41">
    <w:name w:val="apple-converted-space"/>
    <w:basedOn w:val="22"/>
    <w:qFormat/>
    <w:uiPriority w:val="0"/>
  </w:style>
  <w:style w:type="paragraph" w:customStyle="1" w:styleId="42">
    <w:name w:val="Char"/>
    <w:basedOn w:val="1"/>
    <w:qFormat/>
    <w:uiPriority w:val="0"/>
    <w:pPr>
      <w:spacing w:after="160" w:line="240" w:lineRule="exac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43">
    <w:name w:val="样式 标准文件_段 + 小四"/>
    <w:basedOn w:val="2"/>
    <w:qFormat/>
    <w:uiPriority w:val="0"/>
    <w:rPr>
      <w:rFonts w:cs="宋体"/>
      <w:b w:val="0"/>
      <w:sz w:val="24"/>
    </w:rPr>
  </w:style>
  <w:style w:type="paragraph" w:customStyle="1" w:styleId="44">
    <w:name w:val="标准文件_一级条标题"/>
    <w:basedOn w:val="45"/>
    <w:next w:val="46"/>
    <w:qFormat/>
    <w:uiPriority w:val="0"/>
    <w:pPr>
      <w:numPr>
        <w:ilvl w:val="2"/>
      </w:numPr>
      <w:outlineLvl w:val="2"/>
    </w:pPr>
  </w:style>
  <w:style w:type="paragraph" w:customStyle="1" w:styleId="45">
    <w:name w:val="标准文件_章标题"/>
    <w:next w:val="46"/>
    <w:qFormat/>
    <w:uiPriority w:val="0"/>
    <w:pPr>
      <w:numPr>
        <w:ilvl w:val="1"/>
        <w:numId w:val="2"/>
      </w:numPr>
      <w:spacing w:beforeLines="50" w:afterLines="50"/>
      <w:ind w:right="-50" w:rightChars="-50"/>
      <w:jc w:val="both"/>
      <w:outlineLvl w:val="1"/>
    </w:pPr>
    <w:rPr>
      <w:rFonts w:ascii="黑体" w:hAnsi="Times New Roman" w:eastAsia="黑体" w:cs="Times New Roman"/>
      <w:spacing w:val="2"/>
      <w:sz w:val="21"/>
      <w:lang w:val="en-US" w:eastAsia="zh-CN" w:bidi="ar-SA"/>
    </w:rPr>
  </w:style>
  <w:style w:type="paragraph" w:customStyle="1" w:styleId="46">
    <w:name w:val="标准文件_段"/>
    <w:qFormat/>
    <w:uiPriority w:val="0"/>
    <w:pPr>
      <w:widowControl w:val="0"/>
      <w:autoSpaceDE w:val="0"/>
      <w:autoSpaceDN w:val="0"/>
      <w:spacing w:line="276" w:lineRule="auto"/>
      <w:ind w:left="200" w:firstLine="428" w:firstLineChars="200"/>
      <w:jc w:val="center"/>
    </w:pPr>
    <w:rPr>
      <w:rFonts w:ascii="Times New Roman" w:hAnsi="Times New Roman" w:eastAsia="宋体" w:cs="Times New Roman"/>
      <w:spacing w:val="2"/>
      <w:sz w:val="21"/>
      <w:szCs w:val="21"/>
      <w:lang w:val="en-US" w:eastAsia="zh-CN" w:bidi="ar-SA"/>
    </w:rPr>
  </w:style>
  <w:style w:type="paragraph" w:customStyle="1" w:styleId="47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48">
    <w:name w:val="标准文件_五级条标题"/>
    <w:basedOn w:val="49"/>
    <w:next w:val="46"/>
    <w:qFormat/>
    <w:uiPriority w:val="0"/>
    <w:pPr>
      <w:numPr>
        <w:ilvl w:val="6"/>
      </w:numPr>
      <w:outlineLvl w:val="6"/>
    </w:pPr>
  </w:style>
  <w:style w:type="paragraph" w:customStyle="1" w:styleId="49">
    <w:name w:val="标准文件_四级条标题"/>
    <w:basedOn w:val="50"/>
    <w:next w:val="46"/>
    <w:qFormat/>
    <w:uiPriority w:val="0"/>
    <w:pPr>
      <w:numPr>
        <w:ilvl w:val="5"/>
      </w:numPr>
      <w:outlineLvl w:val="5"/>
    </w:pPr>
  </w:style>
  <w:style w:type="paragraph" w:customStyle="1" w:styleId="50">
    <w:name w:val="标准文件_三级条标题"/>
    <w:basedOn w:val="51"/>
    <w:next w:val="46"/>
    <w:qFormat/>
    <w:uiPriority w:val="0"/>
    <w:pPr>
      <w:numPr>
        <w:ilvl w:val="4"/>
      </w:numPr>
      <w:ind w:left="-50"/>
      <w:outlineLvl w:val="4"/>
    </w:pPr>
  </w:style>
  <w:style w:type="paragraph" w:customStyle="1" w:styleId="51">
    <w:name w:val="标准文件_二级条标题"/>
    <w:basedOn w:val="44"/>
    <w:next w:val="46"/>
    <w:qFormat/>
    <w:uiPriority w:val="0"/>
    <w:pPr>
      <w:numPr>
        <w:ilvl w:val="3"/>
      </w:numPr>
      <w:outlineLvl w:val="3"/>
    </w:pPr>
  </w:style>
  <w:style w:type="paragraph" w:customStyle="1" w:styleId="52">
    <w:name w:val="Char Char Char1 Char Char Char Char Char Char Char Char Char Char"/>
    <w:basedOn w:val="1"/>
    <w:qFormat/>
    <w:uiPriority w:val="0"/>
    <w:pPr>
      <w:spacing w:after="160" w:line="240" w:lineRule="exac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53">
    <w:name w:val="标准文件_标准代替"/>
    <w:basedOn w:val="1"/>
    <w:next w:val="1"/>
    <w:qFormat/>
    <w:uiPriority w:val="0"/>
    <w:pPr>
      <w:adjustRightInd w:val="0"/>
      <w:spacing w:line="310" w:lineRule="exact"/>
      <w:jc w:val="right"/>
    </w:pPr>
    <w:rPr>
      <w:rFonts w:ascii="宋体"/>
      <w:kern w:val="0"/>
      <w:szCs w:val="20"/>
    </w:rPr>
  </w:style>
  <w:style w:type="paragraph" w:customStyle="1" w:styleId="54">
    <w:name w:val="样式1"/>
    <w:basedOn w:val="5"/>
    <w:qFormat/>
    <w:uiPriority w:val="0"/>
  </w:style>
  <w:style w:type="paragraph" w:customStyle="1" w:styleId="55">
    <w:name w:val="样式 黑体 小三 居中"/>
    <w:basedOn w:val="18"/>
    <w:qFormat/>
    <w:uiPriority w:val="0"/>
    <w:rPr>
      <w:rFonts w:ascii="黑体" w:hAnsi="黑体" w:eastAsia="黑体" w:cs="宋体"/>
      <w:sz w:val="30"/>
      <w:szCs w:val="20"/>
    </w:rPr>
  </w:style>
  <w:style w:type="paragraph" w:customStyle="1" w:styleId="56">
    <w:name w:val="封面标准英文名称"/>
    <w:qFormat/>
    <w:uiPriority w:val="0"/>
    <w:pPr>
      <w:widowControl w:val="0"/>
      <w:spacing w:before="370" w:line="400" w:lineRule="exact"/>
      <w:ind w:left="200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57">
    <w:name w:val="样式 黑体 小三 居中1"/>
    <w:basedOn w:val="18"/>
    <w:qFormat/>
    <w:uiPriority w:val="0"/>
    <w:rPr>
      <w:rFonts w:ascii="黑体" w:hAnsi="黑体" w:eastAsia="黑体" w:cs="宋体"/>
      <w:sz w:val="30"/>
      <w:szCs w:val="20"/>
    </w:rPr>
  </w:style>
  <w:style w:type="character" w:styleId="58">
    <w:name w:val="Placeholder Text"/>
    <w:unhideWhenUsed/>
    <w:qFormat/>
    <w:uiPriority w:val="99"/>
    <w:rPr>
      <w:color w:val="808080"/>
    </w:rPr>
  </w:style>
  <w:style w:type="table" w:customStyle="1" w:styleId="59">
    <w:name w:val="网格型1"/>
    <w:basedOn w:val="20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0">
    <w:name w:val="List Paragraph"/>
    <w:basedOn w:val="1"/>
    <w:qFormat/>
    <w:uiPriority w:val="34"/>
    <w:pPr>
      <w:ind w:firstLine="420" w:firstLineChars="200"/>
    </w:pPr>
  </w:style>
  <w:style w:type="paragraph" w:customStyle="1" w:styleId="61">
    <w:name w:val="标题1"/>
    <w:basedOn w:val="34"/>
    <w:qFormat/>
    <w:uiPriority w:val="0"/>
    <w:pPr>
      <w:spacing w:line="360" w:lineRule="auto"/>
      <w:jc w:val="left"/>
    </w:pPr>
    <w:rPr>
      <w:rFonts w:hAnsi="Times New Roman"/>
      <w:b w:val="0"/>
    </w:rPr>
  </w:style>
  <w:style w:type="paragraph" w:customStyle="1" w:styleId="62">
    <w:name w:val="标题2"/>
    <w:basedOn w:val="1"/>
    <w:qFormat/>
    <w:uiPriority w:val="0"/>
    <w:pPr>
      <w:spacing w:line="360" w:lineRule="auto"/>
      <w:outlineLvl w:val="0"/>
    </w:pPr>
  </w:style>
  <w:style w:type="table" w:customStyle="1" w:styleId="63">
    <w:name w:val="网格型2"/>
    <w:basedOn w:val="20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">
    <w:name w:val="网格型3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5">
    <w:name w:val="No Spacing"/>
    <w:qFormat/>
    <w:uiPriority w:val="1"/>
    <w:pPr>
      <w:ind w:left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66">
    <w:name w:val="Body text|5"/>
    <w:basedOn w:val="1"/>
    <w:qFormat/>
    <w:uiPriority w:val="0"/>
    <w:pPr>
      <w:widowControl w:val="0"/>
      <w:spacing w:line="641" w:lineRule="exact"/>
      <w:ind w:left="0"/>
      <w:jc w:val="both"/>
    </w:pPr>
    <w:rPr>
      <w:sz w:val="32"/>
      <w:szCs w:val="32"/>
    </w:rPr>
  </w:style>
  <w:style w:type="paragraph" w:customStyle="1" w:styleId="67">
    <w:name w:val="Body text|2"/>
    <w:basedOn w:val="1"/>
    <w:qFormat/>
    <w:uiPriority w:val="0"/>
    <w:pPr>
      <w:widowControl w:val="0"/>
      <w:spacing w:after="300"/>
      <w:ind w:left="0"/>
      <w:jc w:val="center"/>
    </w:pPr>
    <w:rPr>
      <w:rFonts w:ascii="宋体" w:hAnsi="宋体" w:cs="宋体"/>
      <w:sz w:val="34"/>
      <w:szCs w:val="34"/>
      <w:lang w:val="zh-TW" w:eastAsia="zh-TW" w:bidi="zh-TW"/>
    </w:rPr>
  </w:style>
  <w:style w:type="character" w:customStyle="1" w:styleId="68">
    <w:name w:val="mord"/>
    <w:basedOn w:val="22"/>
    <w:qFormat/>
    <w:uiPriority w:val="0"/>
  </w:style>
  <w:style w:type="character" w:customStyle="1" w:styleId="69">
    <w:name w:val="mspace"/>
    <w:basedOn w:val="22"/>
    <w:qFormat/>
    <w:uiPriority w:val="0"/>
  </w:style>
  <w:style w:type="character" w:customStyle="1" w:styleId="70">
    <w:name w:val="mrel"/>
    <w:basedOn w:val="22"/>
    <w:qFormat/>
    <w:uiPriority w:val="0"/>
  </w:style>
  <w:style w:type="character" w:customStyle="1" w:styleId="71">
    <w:name w:val="vlist-s"/>
    <w:basedOn w:val="2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1" Type="http://schemas.openxmlformats.org/officeDocument/2006/relationships/fontTable" Target="fontTable.xml"/><Relationship Id="rId70" Type="http://schemas.openxmlformats.org/officeDocument/2006/relationships/customXml" Target="../customXml/item1.xml"/><Relationship Id="rId7" Type="http://schemas.openxmlformats.org/officeDocument/2006/relationships/oleObject" Target="embeddings/oleObject2.bin"/><Relationship Id="rId69" Type="http://schemas.openxmlformats.org/officeDocument/2006/relationships/numbering" Target="numbering.xml"/><Relationship Id="rId68" Type="http://schemas.openxmlformats.org/officeDocument/2006/relationships/image" Target="media/image31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7.wmf"/><Relationship Id="rId6" Type="http://schemas.openxmlformats.org/officeDocument/2006/relationships/image" Target="media/image1.wmf"/><Relationship Id="rId59" Type="http://schemas.openxmlformats.org/officeDocument/2006/relationships/oleObject" Target="embeddings/oleObject29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2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9.bin"/><Relationship Id="rId4" Type="http://schemas.openxmlformats.org/officeDocument/2006/relationships/theme" Target="theme/theme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74E59-C02D-4193-8160-5AF4E97BF3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6559</Words>
  <Characters>8251</Characters>
  <Lines>110</Lines>
  <Paragraphs>31</Paragraphs>
  <TotalTime>3</TotalTime>
  <ScaleCrop>false</ScaleCrop>
  <LinksUpToDate>false</LinksUpToDate>
  <CharactersWithSpaces>9451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2025-10-22T12:12:00Z</dcterms:created>
  <dc:creator>Chad</dc:creator>
  <cp:lastModifiedBy>郭勇</cp:lastModifiedBy>
  <cp:lastPrinted>2023-06-03T03:31:00Z</cp:lastPrinted>
  <dcterms:modified xsi:type="dcterms:W3CDTF">2025-10-23T08:44:45Z</dcterms:modified>
  <dc:title>JJF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2052-12.1.0.23122</vt:lpwstr>
  </property>
  <property fmtid="{D5CDD505-2E9C-101B-9397-08002B2CF9AE}" pid="4" name="ICV">
    <vt:lpwstr>C27F034AD7B9482F916EAC39D6B18CB5_13</vt:lpwstr>
  </property>
  <property fmtid="{D5CDD505-2E9C-101B-9397-08002B2CF9AE}" pid="5" name="KSOTemplateDocerSaveRecord">
    <vt:lpwstr>eyJoZGlkIjoiYzIwN2Y0N2E2MjlhNGJhM2RkMThmYTNlZDY0YzA5MDYiLCJ1c2VySWQiOiI4OTQ1MTQ4MTIifQ==</vt:lpwstr>
  </property>
</Properties>
</file>